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1FCE8" w14:textId="4975325A" w:rsidR="00C814A3" w:rsidRPr="000A64D8" w:rsidRDefault="00C814A3" w:rsidP="00C814A3">
      <w:pPr>
        <w:tabs>
          <w:tab w:val="right" w:pos="10000"/>
        </w:tabs>
        <w:spacing w:after="0"/>
        <w:jc w:val="both"/>
        <w:rPr>
          <w:rFonts w:ascii="Arial" w:hAnsi="Arial" w:cs="Arial"/>
          <w:b/>
          <w:sz w:val="24"/>
          <w:szCs w:val="24"/>
        </w:rPr>
      </w:pPr>
      <w:bookmarkStart w:id="0" w:name="_GoBack"/>
      <w:bookmarkEnd w:id="0"/>
      <w:r>
        <w:rPr>
          <w:rFonts w:ascii="Arial" w:hAnsi="Arial" w:cs="Arial"/>
          <w:b/>
          <w:bCs/>
          <w:sz w:val="24"/>
          <w:szCs w:val="24"/>
        </w:rPr>
        <w:t>3GPP TSG RAN WG1 #90</w:t>
      </w:r>
      <w:r w:rsidRPr="000A64D8">
        <w:rPr>
          <w:rFonts w:ascii="Arial" w:hAnsi="Arial" w:cs="Arial"/>
          <w:b/>
          <w:sz w:val="24"/>
          <w:szCs w:val="24"/>
        </w:rPr>
        <w:t xml:space="preserve"> </w:t>
      </w:r>
      <w:r w:rsidRPr="000A64D8">
        <w:rPr>
          <w:rFonts w:ascii="Arial" w:hAnsi="Arial" w:cs="Arial"/>
          <w:b/>
          <w:sz w:val="24"/>
          <w:szCs w:val="24"/>
        </w:rPr>
        <w:tab/>
      </w:r>
      <w:r w:rsidR="005D2499" w:rsidRPr="005D2499">
        <w:rPr>
          <w:rFonts w:ascii="Arial" w:hAnsi="Arial" w:cs="Arial"/>
          <w:b/>
          <w:sz w:val="24"/>
          <w:szCs w:val="24"/>
        </w:rPr>
        <w:t>R1-1713388</w:t>
      </w:r>
    </w:p>
    <w:p w14:paraId="1850300B" w14:textId="77777777" w:rsidR="00C814A3" w:rsidRPr="00FD021C" w:rsidRDefault="00C814A3" w:rsidP="00C814A3">
      <w:pPr>
        <w:tabs>
          <w:tab w:val="right" w:pos="9630"/>
        </w:tabs>
        <w:spacing w:after="0"/>
        <w:jc w:val="both"/>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Pr>
          <w:rFonts w:ascii="Arial" w:hAnsi="Arial" w:cs="Arial"/>
          <w:b/>
          <w:sz w:val="24"/>
          <w:szCs w:val="24"/>
        </w:rPr>
        <w:t xml:space="preserve"> - 25</w:t>
      </w:r>
      <w:r w:rsidRPr="00B13C74">
        <w:rPr>
          <w:rFonts w:ascii="Arial" w:hAnsi="Arial" w:cs="Arial"/>
          <w:b/>
          <w:sz w:val="24"/>
          <w:szCs w:val="24"/>
          <w:vertAlign w:val="superscript"/>
        </w:rPr>
        <w:t>th</w:t>
      </w:r>
      <w:r w:rsidRPr="00CC0D62">
        <w:rPr>
          <w:rFonts w:ascii="Arial" w:hAnsi="Arial" w:cs="Arial"/>
          <w:b/>
          <w:sz w:val="24"/>
          <w:szCs w:val="24"/>
        </w:rPr>
        <w:t>, 2017</w:t>
      </w:r>
    </w:p>
    <w:p w14:paraId="574FCEB7" w14:textId="77777777" w:rsidR="00C814A3" w:rsidRPr="000A64D8" w:rsidRDefault="00C814A3" w:rsidP="00C814A3">
      <w:pPr>
        <w:spacing w:after="0"/>
        <w:jc w:val="both"/>
        <w:rPr>
          <w:rFonts w:ascii="Arial" w:hAnsi="Arial" w:cs="Arial"/>
          <w:b/>
          <w:sz w:val="24"/>
          <w:szCs w:val="24"/>
        </w:rPr>
      </w:pPr>
      <w:r>
        <w:rPr>
          <w:rFonts w:ascii="Arial" w:hAnsi="Arial" w:cs="Arial"/>
          <w:b/>
          <w:sz w:val="24"/>
          <w:szCs w:val="24"/>
        </w:rPr>
        <w:t>Prague, Czech</w:t>
      </w:r>
    </w:p>
    <w:p w14:paraId="650540AF" w14:textId="77777777" w:rsidR="00833824" w:rsidRPr="000A64D8" w:rsidRDefault="00833824" w:rsidP="00833824">
      <w:pPr>
        <w:pStyle w:val="Footer"/>
        <w:jc w:val="both"/>
        <w:rPr>
          <w:noProof w:val="0"/>
        </w:rPr>
      </w:pPr>
    </w:p>
    <w:p w14:paraId="158F6566" w14:textId="39D79ABF" w:rsidR="00833824" w:rsidRPr="000A64D8" w:rsidRDefault="00833824" w:rsidP="0083382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732EA4">
        <w:rPr>
          <w:rFonts w:ascii="Arial" w:hAnsi="Arial"/>
          <w:sz w:val="24"/>
        </w:rPr>
        <w:t>6</w:t>
      </w:r>
      <w:r w:rsidR="00765C1C">
        <w:rPr>
          <w:rFonts w:ascii="Arial" w:hAnsi="Arial"/>
          <w:sz w:val="24"/>
        </w:rPr>
        <w:t>.1.2.1.3</w:t>
      </w:r>
    </w:p>
    <w:p w14:paraId="3931BC24" w14:textId="77777777" w:rsidR="00833824" w:rsidRPr="000A64D8" w:rsidRDefault="00833824" w:rsidP="0083382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40B92DC" w14:textId="56E96F70" w:rsidR="00833824" w:rsidRPr="005925EF" w:rsidRDefault="00833824" w:rsidP="00833824">
      <w:pPr>
        <w:ind w:left="1988" w:hanging="1988"/>
        <w:jc w:val="both"/>
        <w:rPr>
          <w:rFonts w:ascii="Arial" w:hAnsi="Arial"/>
          <w:sz w:val="28"/>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5925EF">
        <w:rPr>
          <w:rFonts w:ascii="Arial" w:hAnsi="Arial"/>
          <w:sz w:val="24"/>
        </w:rPr>
        <w:t>Non-</w:t>
      </w:r>
      <w:r w:rsidR="005925EF" w:rsidRPr="005925EF">
        <w:rPr>
          <w:rFonts w:ascii="Arial" w:hAnsi="Arial"/>
          <w:sz w:val="24"/>
        </w:rPr>
        <w:t>C</w:t>
      </w:r>
      <w:r w:rsidRPr="005925EF">
        <w:rPr>
          <w:rFonts w:ascii="Arial" w:hAnsi="Arial"/>
          <w:sz w:val="24"/>
        </w:rPr>
        <w:t xml:space="preserve">odebook </w:t>
      </w:r>
      <w:r w:rsidR="005925EF" w:rsidRPr="005925EF">
        <w:rPr>
          <w:rFonts w:ascii="Arial" w:hAnsi="Arial"/>
          <w:sz w:val="24"/>
        </w:rPr>
        <w:t>B</w:t>
      </w:r>
      <w:r w:rsidRPr="005925EF">
        <w:rPr>
          <w:rFonts w:ascii="Arial" w:hAnsi="Arial"/>
          <w:sz w:val="24"/>
        </w:rPr>
        <w:t xml:space="preserve">ased UL </w:t>
      </w:r>
      <w:r w:rsidR="005925EF" w:rsidRPr="005925EF">
        <w:rPr>
          <w:rFonts w:ascii="Arial" w:hAnsi="Arial"/>
          <w:sz w:val="24"/>
        </w:rPr>
        <w:t>T</w:t>
      </w:r>
      <w:r w:rsidRPr="005925EF">
        <w:rPr>
          <w:rFonts w:ascii="Arial" w:hAnsi="Arial"/>
          <w:sz w:val="24"/>
        </w:rPr>
        <w:t>ransmission</w:t>
      </w:r>
    </w:p>
    <w:p w14:paraId="0B0DDD57" w14:textId="77777777" w:rsidR="00833824" w:rsidRDefault="00833824" w:rsidP="0083382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2DF0F6CC" w14:textId="77777777" w:rsidR="00833824" w:rsidRPr="00183CB7" w:rsidRDefault="00833824" w:rsidP="00833824">
      <w:pPr>
        <w:pStyle w:val="Heading1"/>
      </w:pPr>
      <w:r w:rsidRPr="00183CB7">
        <w:t>Introduction</w:t>
      </w:r>
    </w:p>
    <w:p w14:paraId="336F100D" w14:textId="42B30AB2" w:rsidR="00821C48" w:rsidRPr="00E46F11" w:rsidRDefault="00460A91" w:rsidP="00E46F11">
      <w:pPr>
        <w:spacing w:before="180"/>
        <w:jc w:val="both"/>
        <w:rPr>
          <w:szCs w:val="22"/>
        </w:rPr>
      </w:pPr>
      <w:r>
        <w:rPr>
          <w:szCs w:val="22"/>
        </w:rPr>
        <w:t>In RAN1 NR Ad-Hoc #2</w:t>
      </w:r>
      <w:r w:rsidR="00821C48" w:rsidRPr="00E46F11">
        <w:rPr>
          <w:szCs w:val="22"/>
        </w:rPr>
        <w:t>, the following agreements were made regarding</w:t>
      </w:r>
      <w:r>
        <w:rPr>
          <w:szCs w:val="22"/>
        </w:rPr>
        <w:t xml:space="preserve"> non-codebook based</w:t>
      </w:r>
      <w:r w:rsidR="00821C48" w:rsidRPr="00E46F11">
        <w:rPr>
          <w:szCs w:val="22"/>
        </w:rPr>
        <w:t xml:space="preserve"> UL transmission</w:t>
      </w:r>
      <w:r w:rsidR="00925B23" w:rsidRPr="00E46F11">
        <w:rPr>
          <w:szCs w:val="22"/>
        </w:rPr>
        <w:t xml:space="preserve"> </w:t>
      </w:r>
      <w:r w:rsidR="00722486" w:rsidRPr="00E46F11">
        <w:rPr>
          <w:szCs w:val="22"/>
        </w:rPr>
        <w:fldChar w:fldCharType="begin"/>
      </w:r>
      <w:r w:rsidR="00722486" w:rsidRPr="00E46F11">
        <w:rPr>
          <w:szCs w:val="22"/>
        </w:rPr>
        <w:instrText xml:space="preserve"> REF _Ref485362179 \r \h </w:instrText>
      </w:r>
      <w:r w:rsidR="00E46F11">
        <w:rPr>
          <w:szCs w:val="22"/>
        </w:rPr>
        <w:instrText xml:space="preserve"> \* MERGEFORMAT </w:instrText>
      </w:r>
      <w:r w:rsidR="00722486" w:rsidRPr="00E46F11">
        <w:rPr>
          <w:szCs w:val="22"/>
        </w:rPr>
      </w:r>
      <w:r w:rsidR="00722486" w:rsidRPr="00E46F11">
        <w:rPr>
          <w:szCs w:val="22"/>
        </w:rPr>
        <w:fldChar w:fldCharType="separate"/>
      </w:r>
      <w:r w:rsidR="00D11B39">
        <w:rPr>
          <w:szCs w:val="22"/>
        </w:rPr>
        <w:t>[1]</w:t>
      </w:r>
      <w:r w:rsidR="00722486" w:rsidRPr="00E46F11">
        <w:rPr>
          <w:szCs w:val="22"/>
        </w:rPr>
        <w:fldChar w:fldCharType="end"/>
      </w:r>
      <w:r w:rsidR="00821C48" w:rsidRPr="00E46F11">
        <w:rPr>
          <w:szCs w:val="22"/>
        </w:rPr>
        <w:t>:</w:t>
      </w:r>
    </w:p>
    <w:p w14:paraId="2C125943" w14:textId="77777777" w:rsidR="00460A91" w:rsidRPr="00460A91" w:rsidRDefault="00460A91" w:rsidP="00460A91">
      <w:pPr>
        <w:numPr>
          <w:ilvl w:val="0"/>
          <w:numId w:val="22"/>
        </w:numPr>
        <w:overflowPunct/>
        <w:autoSpaceDE/>
        <w:autoSpaceDN/>
        <w:adjustRightInd/>
        <w:spacing w:after="0"/>
        <w:textAlignment w:val="auto"/>
        <w:rPr>
          <w:i/>
          <w:iCs/>
        </w:rPr>
      </w:pPr>
      <w:r w:rsidRPr="00460A91">
        <w:rPr>
          <w:i/>
          <w:iCs/>
        </w:rPr>
        <w:t xml:space="preserve">For PUSCH precoder determination in non-codebook-based UL MIMO, support at least one of the followings: </w:t>
      </w:r>
    </w:p>
    <w:p w14:paraId="56F71A16" w14:textId="77777777" w:rsidR="00460A91" w:rsidRPr="003E6B10" w:rsidRDefault="00460A91" w:rsidP="003E6B10">
      <w:pPr>
        <w:numPr>
          <w:ilvl w:val="1"/>
          <w:numId w:val="23"/>
        </w:numPr>
        <w:overflowPunct/>
        <w:autoSpaceDE/>
        <w:autoSpaceDN/>
        <w:adjustRightInd/>
        <w:spacing w:after="0"/>
        <w:textAlignment w:val="auto"/>
        <w:rPr>
          <w:rFonts w:eastAsia="MS Mincho"/>
          <w:i/>
          <w:iCs/>
          <w:lang w:eastAsia="ja-JP"/>
        </w:rPr>
      </w:pPr>
      <w:r w:rsidRPr="003E6B10">
        <w:rPr>
          <w:rFonts w:eastAsia="MS Mincho"/>
          <w:i/>
          <w:iCs/>
          <w:lang w:eastAsia="ja-JP"/>
        </w:rPr>
        <w:t xml:space="preserve">Alt.1: </w:t>
      </w:r>
      <w:proofErr w:type="spellStart"/>
      <w:r w:rsidRPr="003E6B10">
        <w:rPr>
          <w:rFonts w:eastAsia="MS Mincho"/>
          <w:i/>
          <w:iCs/>
          <w:lang w:eastAsia="ja-JP"/>
        </w:rPr>
        <w:t>Signalling</w:t>
      </w:r>
      <w:proofErr w:type="spellEnd"/>
      <w:r w:rsidRPr="003E6B10">
        <w:rPr>
          <w:rFonts w:eastAsia="MS Mincho"/>
          <w:i/>
          <w:iCs/>
          <w:lang w:eastAsia="ja-JP"/>
        </w:rPr>
        <w:t xml:space="preserve"> of SRI(s) only, without TPMI indication in the UL grant</w:t>
      </w:r>
    </w:p>
    <w:p w14:paraId="60B0980E" w14:textId="77777777" w:rsidR="00460A91" w:rsidRPr="003E6B10" w:rsidRDefault="00460A91" w:rsidP="003E6B10">
      <w:pPr>
        <w:numPr>
          <w:ilvl w:val="1"/>
          <w:numId w:val="23"/>
        </w:numPr>
        <w:overflowPunct/>
        <w:autoSpaceDE/>
        <w:autoSpaceDN/>
        <w:adjustRightInd/>
        <w:spacing w:after="0"/>
        <w:textAlignment w:val="auto"/>
        <w:rPr>
          <w:rFonts w:eastAsia="MS Mincho"/>
          <w:i/>
          <w:iCs/>
          <w:lang w:eastAsia="ja-JP"/>
        </w:rPr>
      </w:pPr>
      <w:r w:rsidRPr="003E6B10">
        <w:rPr>
          <w:rFonts w:eastAsia="MS Mincho"/>
          <w:i/>
          <w:iCs/>
          <w:lang w:eastAsia="ja-JP"/>
        </w:rPr>
        <w:t xml:space="preserve">Alt.2: </w:t>
      </w:r>
      <w:proofErr w:type="spellStart"/>
      <w:r w:rsidRPr="003E6B10">
        <w:rPr>
          <w:rFonts w:eastAsia="MS Mincho"/>
          <w:i/>
          <w:iCs/>
          <w:lang w:eastAsia="ja-JP"/>
        </w:rPr>
        <w:t>Signalling</w:t>
      </w:r>
      <w:proofErr w:type="spellEnd"/>
      <w:r w:rsidRPr="003E6B10">
        <w:rPr>
          <w:rFonts w:eastAsia="MS Mincho"/>
          <w:i/>
          <w:iCs/>
          <w:lang w:eastAsia="ja-JP"/>
        </w:rPr>
        <w:t xml:space="preserve"> of TRI only, without TPMI indication in the UL grant</w:t>
      </w:r>
    </w:p>
    <w:p w14:paraId="71C637A9" w14:textId="77777777" w:rsidR="00460A91" w:rsidRPr="003E6B10" w:rsidRDefault="00460A91" w:rsidP="003E6B10">
      <w:pPr>
        <w:numPr>
          <w:ilvl w:val="1"/>
          <w:numId w:val="23"/>
        </w:numPr>
        <w:overflowPunct/>
        <w:autoSpaceDE/>
        <w:autoSpaceDN/>
        <w:adjustRightInd/>
        <w:spacing w:after="0"/>
        <w:textAlignment w:val="auto"/>
        <w:rPr>
          <w:rFonts w:eastAsia="MS Mincho"/>
          <w:i/>
          <w:iCs/>
          <w:lang w:eastAsia="ja-JP"/>
        </w:rPr>
      </w:pPr>
      <w:r w:rsidRPr="003E6B10">
        <w:rPr>
          <w:rFonts w:eastAsia="MS Mincho"/>
          <w:i/>
          <w:iCs/>
          <w:lang w:eastAsia="ja-JP"/>
        </w:rPr>
        <w:t xml:space="preserve">Alt.3: </w:t>
      </w:r>
      <w:proofErr w:type="spellStart"/>
      <w:r w:rsidRPr="003E6B10">
        <w:rPr>
          <w:rFonts w:eastAsia="MS Mincho"/>
          <w:i/>
          <w:iCs/>
          <w:lang w:eastAsia="ja-JP"/>
        </w:rPr>
        <w:t>Signalling</w:t>
      </w:r>
      <w:proofErr w:type="spellEnd"/>
      <w:r w:rsidRPr="003E6B10">
        <w:rPr>
          <w:rFonts w:eastAsia="MS Mincho"/>
          <w:i/>
          <w:iCs/>
          <w:lang w:eastAsia="ja-JP"/>
        </w:rPr>
        <w:t xml:space="preserve"> of TRI and a single SRI, without TPMI indication in the UL grant</w:t>
      </w:r>
    </w:p>
    <w:p w14:paraId="5C5241C8" w14:textId="3209CD35" w:rsidR="00460A91" w:rsidRPr="003E6B10" w:rsidRDefault="00460A91" w:rsidP="003E6B10">
      <w:pPr>
        <w:numPr>
          <w:ilvl w:val="1"/>
          <w:numId w:val="23"/>
        </w:numPr>
        <w:overflowPunct/>
        <w:autoSpaceDE/>
        <w:autoSpaceDN/>
        <w:adjustRightInd/>
        <w:spacing w:after="0"/>
        <w:textAlignment w:val="auto"/>
        <w:rPr>
          <w:rFonts w:eastAsia="MS Mincho"/>
          <w:i/>
          <w:iCs/>
          <w:lang w:eastAsia="ja-JP"/>
        </w:rPr>
      </w:pPr>
      <w:r w:rsidRPr="003E6B10">
        <w:rPr>
          <w:rFonts w:eastAsia="MS Mincho"/>
          <w:i/>
          <w:iCs/>
          <w:lang w:eastAsia="ja-JP"/>
        </w:rPr>
        <w:t xml:space="preserve">Alt.4: </w:t>
      </w:r>
      <w:proofErr w:type="spellStart"/>
      <w:r w:rsidRPr="003E6B10">
        <w:rPr>
          <w:rFonts w:eastAsia="MS Mincho"/>
          <w:i/>
          <w:iCs/>
          <w:lang w:eastAsia="ja-JP"/>
        </w:rPr>
        <w:t>Signalling</w:t>
      </w:r>
      <w:proofErr w:type="spellEnd"/>
      <w:r w:rsidRPr="003E6B10">
        <w:rPr>
          <w:rFonts w:eastAsia="MS Mincho"/>
          <w:i/>
          <w:iCs/>
          <w:lang w:eastAsia="ja-JP"/>
        </w:rPr>
        <w:t xml:space="preserve"> of a single TRI, </w:t>
      </w:r>
      <w:proofErr w:type="gramStart"/>
      <w:r w:rsidRPr="003E6B10">
        <w:rPr>
          <w:rFonts w:eastAsia="MS Mincho"/>
          <w:i/>
          <w:iCs/>
          <w:lang w:eastAsia="ja-JP"/>
        </w:rPr>
        <w:t>a single CRI</w:t>
      </w:r>
      <w:proofErr w:type="gramEnd"/>
      <w:r w:rsidRPr="003E6B10">
        <w:rPr>
          <w:rFonts w:eastAsia="MS Mincho"/>
          <w:i/>
          <w:iCs/>
          <w:lang w:eastAsia="ja-JP"/>
        </w:rPr>
        <w:t xml:space="preserve"> without TPMI indication in the UL grant</w:t>
      </w:r>
    </w:p>
    <w:p w14:paraId="5AB28B5E" w14:textId="77777777" w:rsidR="00460A91" w:rsidRPr="003E6B10" w:rsidRDefault="00460A91" w:rsidP="003E6B10">
      <w:pPr>
        <w:numPr>
          <w:ilvl w:val="1"/>
          <w:numId w:val="23"/>
        </w:numPr>
        <w:overflowPunct/>
        <w:autoSpaceDE/>
        <w:autoSpaceDN/>
        <w:adjustRightInd/>
        <w:spacing w:after="0"/>
        <w:textAlignment w:val="auto"/>
        <w:rPr>
          <w:rFonts w:eastAsia="MS Mincho"/>
          <w:i/>
          <w:iCs/>
          <w:lang w:eastAsia="ja-JP"/>
        </w:rPr>
      </w:pPr>
      <w:r w:rsidRPr="003E6B10">
        <w:rPr>
          <w:rFonts w:eastAsia="MS Mincho"/>
          <w:i/>
          <w:iCs/>
          <w:lang w:eastAsia="ja-JP"/>
        </w:rPr>
        <w:t>To down-select in the next meeting considering single- vs. multi-panel (companies are encouraged to perform more evaluations)</w:t>
      </w:r>
    </w:p>
    <w:p w14:paraId="7A9629A2" w14:textId="59E57BFA" w:rsidR="00460A91" w:rsidRPr="003E6B10" w:rsidRDefault="00460A91" w:rsidP="003E6B10">
      <w:pPr>
        <w:numPr>
          <w:ilvl w:val="1"/>
          <w:numId w:val="23"/>
        </w:numPr>
        <w:overflowPunct/>
        <w:autoSpaceDE/>
        <w:autoSpaceDN/>
        <w:adjustRightInd/>
        <w:spacing w:after="0"/>
        <w:textAlignment w:val="auto"/>
        <w:rPr>
          <w:rFonts w:eastAsia="MS Mincho"/>
          <w:i/>
          <w:iCs/>
          <w:lang w:eastAsia="ja-JP"/>
        </w:rPr>
      </w:pPr>
      <w:r w:rsidRPr="003E6B10">
        <w:rPr>
          <w:rFonts w:eastAsia="MS Mincho"/>
          <w:i/>
          <w:iCs/>
          <w:lang w:eastAsia="ja-JP"/>
        </w:rPr>
        <w:t>Note: this may depend UE’s capability in terms of calibration</w:t>
      </w:r>
    </w:p>
    <w:p w14:paraId="3E61D786" w14:textId="7976A824" w:rsidR="00833824" w:rsidRPr="003E3A04" w:rsidRDefault="00722486" w:rsidP="00D6141A">
      <w:pPr>
        <w:spacing w:before="120"/>
        <w:jc w:val="both"/>
        <w:rPr>
          <w:lang w:val="en-GB"/>
        </w:rPr>
      </w:pPr>
      <w:r>
        <w:rPr>
          <w:rFonts w:eastAsia="MS Mincho"/>
        </w:rPr>
        <w:t xml:space="preserve">In </w:t>
      </w:r>
      <w:r w:rsidR="00833824" w:rsidRPr="00656A8B">
        <w:rPr>
          <w:lang w:val="en-GB"/>
        </w:rPr>
        <w:t>t</w:t>
      </w:r>
      <w:r w:rsidR="00833824">
        <w:rPr>
          <w:lang w:val="en-GB"/>
        </w:rPr>
        <w:t xml:space="preserve">his contribution, we discuss </w:t>
      </w:r>
      <w:r w:rsidR="00460A91">
        <w:rPr>
          <w:lang w:val="en-GB"/>
        </w:rPr>
        <w:t>our views on down-selection of above signalling alternatives</w:t>
      </w:r>
      <w:r w:rsidR="004E45B6">
        <w:rPr>
          <w:lang w:val="en-GB"/>
        </w:rPr>
        <w:t>.</w:t>
      </w:r>
    </w:p>
    <w:p w14:paraId="4A95FC8E" w14:textId="1B6E2676" w:rsidR="00833824" w:rsidRDefault="00833824" w:rsidP="00833824">
      <w:pPr>
        <w:pStyle w:val="Heading1"/>
        <w:jc w:val="both"/>
      </w:pPr>
      <w:r>
        <w:t>Discussion</w:t>
      </w:r>
    </w:p>
    <w:p w14:paraId="6BC638A8" w14:textId="3BE75223" w:rsidR="00EF5DA3" w:rsidRDefault="003E6B10" w:rsidP="00E46F11">
      <w:pPr>
        <w:jc w:val="both"/>
        <w:rPr>
          <w:lang w:val="en-GB"/>
        </w:rPr>
      </w:pPr>
      <w:r>
        <w:rPr>
          <w:lang w:val="en-GB"/>
        </w:rPr>
        <w:t>All the four alternatives m</w:t>
      </w:r>
      <w:r w:rsidR="004E45B6">
        <w:rPr>
          <w:lang w:val="en-GB"/>
        </w:rPr>
        <w:t xml:space="preserve">ay be considered for non-codebook based UL transmission scheme. </w:t>
      </w:r>
      <w:r>
        <w:rPr>
          <w:lang w:val="en-GB"/>
        </w:rPr>
        <w:t xml:space="preserve"> </w:t>
      </w:r>
      <w:r w:rsidR="004E45B6">
        <w:rPr>
          <w:lang w:val="en-GB"/>
        </w:rPr>
        <w:t xml:space="preserve">We examine the </w:t>
      </w:r>
      <w:r w:rsidR="00B354C9">
        <w:rPr>
          <w:lang w:val="en-GB"/>
        </w:rPr>
        <w:t>performance implications of each approach</w:t>
      </w:r>
      <w:r w:rsidR="004E45B6">
        <w:rPr>
          <w:lang w:val="en-GB"/>
        </w:rPr>
        <w:t>.</w:t>
      </w:r>
      <w:r w:rsidR="00817DA1">
        <w:rPr>
          <w:lang w:val="en-GB"/>
        </w:rPr>
        <w:t xml:space="preserve"> Specifically, since it has been agreed that frequency-selective precoding can be configured in some cases, we examine the overhead </w:t>
      </w:r>
      <w:r w:rsidR="00925B23">
        <w:rPr>
          <w:lang w:val="en-GB"/>
        </w:rPr>
        <w:t xml:space="preserve">required to support this aspect for the various options. </w:t>
      </w:r>
    </w:p>
    <w:p w14:paraId="5AFE8009" w14:textId="7EBC021B" w:rsidR="00E46F11" w:rsidRPr="00E46F11" w:rsidRDefault="00E11D60" w:rsidP="00E46F11">
      <w:pPr>
        <w:jc w:val="both"/>
        <w:rPr>
          <w:b/>
          <w:lang w:val="en-GB"/>
        </w:rPr>
      </w:pPr>
      <w:r>
        <w:rPr>
          <w:b/>
          <w:lang w:val="en-GB"/>
        </w:rPr>
        <w:t>Alt-1: Signalling of SRI(s) only</w:t>
      </w:r>
    </w:p>
    <w:p w14:paraId="092801B5" w14:textId="3ECF9542" w:rsidR="00891768" w:rsidRDefault="004E45B6" w:rsidP="00E46F11">
      <w:pPr>
        <w:jc w:val="both"/>
        <w:rPr>
          <w:lang w:val="en-GB"/>
        </w:rPr>
      </w:pPr>
      <w:r>
        <w:rPr>
          <w:lang w:val="en-GB"/>
        </w:rPr>
        <w:t xml:space="preserve">In this </w:t>
      </w:r>
      <w:r w:rsidR="00E11D60">
        <w:rPr>
          <w:lang w:val="en-GB"/>
        </w:rPr>
        <w:t>alternative</w:t>
      </w:r>
      <w:r>
        <w:rPr>
          <w:lang w:val="en-GB"/>
        </w:rPr>
        <w:t xml:space="preserve">, </w:t>
      </w:r>
      <w:r w:rsidR="00BB3224">
        <w:rPr>
          <w:lang w:val="en-GB"/>
        </w:rPr>
        <w:t>a</w:t>
      </w:r>
      <w:r>
        <w:rPr>
          <w:lang w:val="en-GB"/>
        </w:rPr>
        <w:t xml:space="preserve"> UE </w:t>
      </w:r>
      <w:r w:rsidR="00BB3224">
        <w:rPr>
          <w:lang w:val="en-GB"/>
        </w:rPr>
        <w:t>may be configured with a number of SRS resources and each resource may contain</w:t>
      </w:r>
      <w:r w:rsidR="00891768">
        <w:rPr>
          <w:lang w:val="en-GB"/>
        </w:rPr>
        <w:t xml:space="preserve"> only one SRS port.  Based on reciprocity, the UE </w:t>
      </w:r>
      <w:r w:rsidR="000715AA">
        <w:rPr>
          <w:lang w:val="en-GB"/>
        </w:rPr>
        <w:t xml:space="preserve">may </w:t>
      </w:r>
      <w:r w:rsidR="00891768">
        <w:rPr>
          <w:lang w:val="en-GB"/>
        </w:rPr>
        <w:t xml:space="preserve">choose multiple precoding candidates for precoded SRS transmission.  The gNB can signal to UE one or more SRIs </w:t>
      </w:r>
      <w:r>
        <w:rPr>
          <w:lang w:val="en-GB"/>
        </w:rPr>
        <w:t>to down-select the precoder from the recommendation.</w:t>
      </w:r>
      <w:r w:rsidR="00E46F11">
        <w:rPr>
          <w:lang w:val="en-GB"/>
        </w:rPr>
        <w:t xml:space="preserve">  </w:t>
      </w:r>
      <w:r w:rsidR="00891768">
        <w:rPr>
          <w:lang w:val="en-GB"/>
        </w:rPr>
        <w:t xml:space="preserve">The transmission rank is implicitly informed by the SRI(s), i.e., the number of layers equals to the total number of SRS ports associated with the selected SRS resources.  </w:t>
      </w:r>
      <w:r w:rsidR="004922CF">
        <w:rPr>
          <w:lang w:val="en-GB"/>
        </w:rPr>
        <w:t>For example, if a UE is configured with 4 single-port SRS resources, a 4-bit bitmap can be used for indicating the SRI(s).</w:t>
      </w:r>
    </w:p>
    <w:p w14:paraId="72641F10" w14:textId="47419FA4" w:rsidR="004E45B6" w:rsidRDefault="00EF2396" w:rsidP="00E46F11">
      <w:pPr>
        <w:jc w:val="both"/>
        <w:rPr>
          <w:lang w:val="en-GB"/>
        </w:rPr>
      </w:pPr>
      <w:r>
        <w:rPr>
          <w:lang w:val="en-GB"/>
        </w:rPr>
        <w:t xml:space="preserve">To signal subband precoding information, two mechanisms can be considered.  In one way, the subband precoding can be determined by gNB, i.e., the gNB can configure the UE multiple subband SRS resources for each SRS port and indicating the SRI(s) for each scheduled subband.  </w:t>
      </w:r>
      <w:r w:rsidR="00877763">
        <w:rPr>
          <w:lang w:val="en-GB"/>
        </w:rPr>
        <w:t xml:space="preserve">Depending on the number of scheduled subbands, subband SRI indication may require additional bits in the UL grant.  </w:t>
      </w:r>
      <w:r>
        <w:rPr>
          <w:lang w:val="en-GB"/>
        </w:rPr>
        <w:t xml:space="preserve">Alternatively, the gNB can just signal a single SRI for a SRS port and let the UE to decide the subband precoding.  </w:t>
      </w:r>
    </w:p>
    <w:p w14:paraId="01664D59" w14:textId="6EE49C61" w:rsidR="00E8641E" w:rsidRDefault="00EF2396" w:rsidP="00E46F11">
      <w:pPr>
        <w:jc w:val="both"/>
        <w:rPr>
          <w:b/>
          <w:lang w:val="en-GB"/>
        </w:rPr>
      </w:pPr>
      <w:r>
        <w:rPr>
          <w:b/>
          <w:lang w:val="en-GB"/>
        </w:rPr>
        <w:t>Alt-2</w:t>
      </w:r>
      <w:r w:rsidR="006D616A">
        <w:rPr>
          <w:b/>
          <w:lang w:val="en-GB"/>
        </w:rPr>
        <w:t>, 3</w:t>
      </w:r>
      <w:r w:rsidR="00E8641E">
        <w:rPr>
          <w:b/>
          <w:lang w:val="en-GB"/>
        </w:rPr>
        <w:t xml:space="preserve">: Signaling of TRI </w:t>
      </w:r>
      <w:r w:rsidR="00E94892">
        <w:rPr>
          <w:b/>
          <w:lang w:val="en-GB"/>
        </w:rPr>
        <w:t xml:space="preserve">and zero or a </w:t>
      </w:r>
      <w:r w:rsidR="006D616A">
        <w:rPr>
          <w:b/>
          <w:lang w:val="en-GB"/>
        </w:rPr>
        <w:t>single SRI</w:t>
      </w:r>
    </w:p>
    <w:p w14:paraId="312EC848" w14:textId="4EF69A92" w:rsidR="00E94892" w:rsidRDefault="00B0618C" w:rsidP="00E46F11">
      <w:pPr>
        <w:jc w:val="both"/>
        <w:rPr>
          <w:lang w:val="en-GB"/>
        </w:rPr>
      </w:pPr>
      <w:r w:rsidRPr="00B0618C">
        <w:rPr>
          <w:lang w:val="en-GB"/>
        </w:rPr>
        <w:t xml:space="preserve">Instead of </w:t>
      </w:r>
      <w:r>
        <w:rPr>
          <w:lang w:val="en-GB"/>
        </w:rPr>
        <w:t xml:space="preserve">configuring multiple single-port SRS resources, the gNB can configure a single SRS resource with multiple ports.  The UE can determine the precoding for each SRS port and the gNB can select a subset of ports in the SRS resource.  </w:t>
      </w:r>
      <w:r w:rsidR="00335287">
        <w:rPr>
          <w:lang w:val="en-GB"/>
        </w:rPr>
        <w:t>The port selection and transmission rank can be jointly indicated by TRI.</w:t>
      </w:r>
      <w:r w:rsidR="00402162">
        <w:rPr>
          <w:lang w:val="en-GB"/>
        </w:rPr>
        <w:t xml:space="preserve">  For example, if a UE is configured with 4 SRS ports</w:t>
      </w:r>
      <w:r w:rsidR="004922CF">
        <w:rPr>
          <w:lang w:val="en-GB"/>
        </w:rPr>
        <w:t xml:space="preserve"> indexed by</w:t>
      </w:r>
      <w:r w:rsidR="004A3D2F">
        <w:rPr>
          <w:lang w:val="en-GB"/>
        </w:rPr>
        <w:t xml:space="preserve"> {0, 1, 2, 3}, a 2-bit TRI, </w:t>
      </w:r>
      <w:r w:rsidR="004A3D2F" w:rsidRPr="004A3D2F">
        <w:rPr>
          <w:i/>
          <w:lang w:val="en-GB"/>
        </w:rPr>
        <w:t>r</w:t>
      </w:r>
      <w:r w:rsidR="004A3D2F">
        <w:rPr>
          <w:lang w:val="en-GB"/>
        </w:rPr>
        <w:t xml:space="preserve">, </w:t>
      </w:r>
      <w:r w:rsidR="00402162">
        <w:rPr>
          <w:lang w:val="en-GB"/>
        </w:rPr>
        <w:t xml:space="preserve">can </w:t>
      </w:r>
      <w:r w:rsidR="004A3D2F">
        <w:rPr>
          <w:lang w:val="en-GB"/>
        </w:rPr>
        <w:t xml:space="preserve">be used for indicating </w:t>
      </w:r>
      <w:r w:rsidR="00402162">
        <w:rPr>
          <w:lang w:val="en-GB"/>
        </w:rPr>
        <w:t>indicate that SRS port</w:t>
      </w:r>
      <w:r w:rsidR="004922CF">
        <w:rPr>
          <w:lang w:val="en-GB"/>
        </w:rPr>
        <w:t xml:space="preserve">s {0, 1, …, </w:t>
      </w:r>
      <w:r w:rsidR="004922CF" w:rsidRPr="004922CF">
        <w:rPr>
          <w:i/>
          <w:lang w:val="en-GB"/>
        </w:rPr>
        <w:t>r</w:t>
      </w:r>
      <w:r w:rsidR="004922CF">
        <w:rPr>
          <w:lang w:val="en-GB"/>
        </w:rPr>
        <w:t>} are selected for uplink transmission</w:t>
      </w:r>
      <w:r w:rsidR="004A3D2F">
        <w:rPr>
          <w:lang w:val="en-GB"/>
        </w:rPr>
        <w:t xml:space="preserve">, </w:t>
      </w:r>
      <w:r w:rsidR="004A3D2F" w:rsidRPr="004A3D2F">
        <w:rPr>
          <w:i/>
          <w:lang w:val="en-GB"/>
        </w:rPr>
        <w:t>r</w:t>
      </w:r>
      <w:r w:rsidR="004A3D2F">
        <w:rPr>
          <w:lang w:val="en-GB"/>
        </w:rPr>
        <w:t xml:space="preserve"> = 0, 1, …, 3</w:t>
      </w:r>
      <w:r w:rsidR="004922CF">
        <w:rPr>
          <w:lang w:val="en-GB"/>
        </w:rPr>
        <w:t xml:space="preserve">. </w:t>
      </w:r>
      <w:r w:rsidR="0044364C">
        <w:rPr>
          <w:lang w:val="en-GB"/>
        </w:rPr>
        <w:t xml:space="preserve"> </w:t>
      </w:r>
      <w:r w:rsidR="00E94892">
        <w:rPr>
          <w:lang w:val="en-GB"/>
        </w:rPr>
        <w:t>The mapping between the TRI and the port subset may or may not be fixed.  For example, the gNB may configure two sets of mappings and dynamically indicate one set for the port selection.</w:t>
      </w:r>
    </w:p>
    <w:p w14:paraId="53A1859E" w14:textId="5226AFB0" w:rsidR="00227E2C" w:rsidRPr="00B0618C" w:rsidRDefault="0044364C" w:rsidP="00E46F11">
      <w:pPr>
        <w:jc w:val="both"/>
        <w:rPr>
          <w:lang w:val="en-GB"/>
        </w:rPr>
      </w:pPr>
      <w:r>
        <w:rPr>
          <w:lang w:val="en-GB"/>
        </w:rPr>
        <w:lastRenderedPageBreak/>
        <w:t xml:space="preserve">Note that TRI applies to all scheduled subband.  So, </w:t>
      </w:r>
      <w:r w:rsidR="007F1C3E">
        <w:rPr>
          <w:lang w:val="en-GB"/>
        </w:rPr>
        <w:t>subband precoding can be supported</w:t>
      </w:r>
      <w:r>
        <w:rPr>
          <w:lang w:val="en-GB"/>
        </w:rPr>
        <w:t xml:space="preserve">, similar to Alt-1, </w:t>
      </w:r>
      <w:r w:rsidR="007F1C3E">
        <w:rPr>
          <w:lang w:val="en-GB"/>
        </w:rPr>
        <w:t>in a gNB transparent manner.  The UE can decide the SRS precoding on each subband</w:t>
      </w:r>
      <w:r>
        <w:rPr>
          <w:lang w:val="en-GB"/>
        </w:rPr>
        <w:t xml:space="preserve">.  </w:t>
      </w:r>
    </w:p>
    <w:p w14:paraId="785CF961" w14:textId="448DB0C7" w:rsidR="006D616A" w:rsidRDefault="006D616A" w:rsidP="0043399B">
      <w:pPr>
        <w:jc w:val="both"/>
        <w:rPr>
          <w:lang w:val="en-GB"/>
        </w:rPr>
      </w:pPr>
      <w:r>
        <w:rPr>
          <w:lang w:val="en-GB"/>
        </w:rPr>
        <w:t>When a UE is equipped with multiple panels of antennas, a single SRS resource may not be sufficient.  In this case, a UE can be configured with multiple SRS resources.  Each resource is associated with a panel of antennas and contains multiple ports.  An SRI can be signalled to the UE to select a panel to be used for uplink transmission.  A TRI can further indicate the port selection and rank using the panel selected by SRI.</w:t>
      </w:r>
    </w:p>
    <w:p w14:paraId="59E46557" w14:textId="77777777" w:rsidR="00DC0D50" w:rsidRDefault="00DC0D50" w:rsidP="00DC0D50">
      <w:pPr>
        <w:keepNext/>
        <w:jc w:val="center"/>
      </w:pPr>
      <w:r>
        <w:rPr>
          <w:noProof/>
          <w:lang w:eastAsia="zh-CN"/>
        </w:rPr>
        <w:drawing>
          <wp:inline distT="0" distB="0" distL="0" distR="0" wp14:anchorId="62740FC7" wp14:editId="3F844272">
            <wp:extent cx="5609855" cy="26563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n-codebook.png"/>
                    <pic:cNvPicPr/>
                  </pic:nvPicPr>
                  <pic:blipFill>
                    <a:blip r:embed="rId12">
                      <a:extLst>
                        <a:ext uri="{28A0092B-C50C-407E-A947-70E740481C1C}">
                          <a14:useLocalDpi xmlns:a14="http://schemas.microsoft.com/office/drawing/2010/main" val="0"/>
                        </a:ext>
                      </a:extLst>
                    </a:blip>
                    <a:stretch>
                      <a:fillRect/>
                    </a:stretch>
                  </pic:blipFill>
                  <pic:spPr>
                    <a:xfrm>
                      <a:off x="0" y="0"/>
                      <a:ext cx="5609855" cy="2656337"/>
                    </a:xfrm>
                    <a:prstGeom prst="rect">
                      <a:avLst/>
                    </a:prstGeom>
                  </pic:spPr>
                </pic:pic>
              </a:graphicData>
            </a:graphic>
          </wp:inline>
        </w:drawing>
      </w:r>
    </w:p>
    <w:p w14:paraId="08612D00" w14:textId="12DACB14" w:rsidR="00DC0D50" w:rsidRDefault="00DC0D50" w:rsidP="00DC0D50">
      <w:pPr>
        <w:pStyle w:val="Caption"/>
        <w:jc w:val="center"/>
      </w:pPr>
      <w:r>
        <w:t xml:space="preserve">Figure </w:t>
      </w:r>
      <w:r w:rsidR="00BA7372">
        <w:fldChar w:fldCharType="begin"/>
      </w:r>
      <w:r w:rsidR="00BA7372">
        <w:instrText xml:space="preserve"> SEQ Figure \* ARABIC </w:instrText>
      </w:r>
      <w:r w:rsidR="00BA7372">
        <w:fldChar w:fldCharType="separate"/>
      </w:r>
      <w:r>
        <w:rPr>
          <w:noProof/>
        </w:rPr>
        <w:t>1</w:t>
      </w:r>
      <w:r w:rsidR="00BA7372">
        <w:rPr>
          <w:noProof/>
        </w:rPr>
        <w:fldChar w:fldCharType="end"/>
      </w:r>
      <w:r>
        <w:t>. Illustration of Alt-1 and Alt-2.</w:t>
      </w:r>
    </w:p>
    <w:p w14:paraId="0AC3A427" w14:textId="3405B458" w:rsidR="006B2496" w:rsidRPr="002E3960" w:rsidRDefault="006B2496" w:rsidP="002E3960"/>
    <w:p w14:paraId="73CC3EF7" w14:textId="6355AC72" w:rsidR="004E45B6" w:rsidRPr="00E46F11" w:rsidRDefault="00EF2396" w:rsidP="00E46F11">
      <w:pPr>
        <w:jc w:val="both"/>
        <w:rPr>
          <w:b/>
          <w:lang w:val="en-GB"/>
        </w:rPr>
      </w:pPr>
      <w:r>
        <w:rPr>
          <w:b/>
          <w:lang w:val="en-GB"/>
        </w:rPr>
        <w:t xml:space="preserve">Alt-4: Signaling TRI and </w:t>
      </w:r>
      <w:proofErr w:type="gramStart"/>
      <w:r>
        <w:rPr>
          <w:b/>
          <w:lang w:val="en-GB"/>
        </w:rPr>
        <w:t>a single CRI</w:t>
      </w:r>
      <w:proofErr w:type="gramEnd"/>
      <w:r>
        <w:rPr>
          <w:b/>
          <w:lang w:val="en-GB"/>
        </w:rPr>
        <w:t xml:space="preserve"> </w:t>
      </w:r>
    </w:p>
    <w:p w14:paraId="64ED2E2F" w14:textId="1D8BD1E7" w:rsidR="009645C3" w:rsidRDefault="009645C3" w:rsidP="00E46F11">
      <w:pPr>
        <w:jc w:val="both"/>
        <w:rPr>
          <w:lang w:val="en-GB"/>
        </w:rPr>
      </w:pPr>
      <w:r>
        <w:rPr>
          <w:lang w:val="en-GB"/>
        </w:rPr>
        <w:t xml:space="preserve">When the beam correspondence holds, the UE can determine the uplink transmit beam based on the downlink receive beam.  The gNB may configure a UE with multiple CSI-RS resources and separate downlink beams are associated with individual CSI-RS resources.  The UE may decide a best received beam for each CSI-RS resource in downlink beam management.  For uplink transmission, the gNB may indicate UE </w:t>
      </w:r>
      <w:proofErr w:type="gramStart"/>
      <w:r>
        <w:rPr>
          <w:lang w:val="en-GB"/>
        </w:rPr>
        <w:t>a CRI</w:t>
      </w:r>
      <w:proofErr w:type="gramEnd"/>
      <w:r>
        <w:rPr>
          <w:lang w:val="en-GB"/>
        </w:rPr>
        <w:t xml:space="preserve"> which corresponds to one of the configured CSI-RS resource.  The UE may then use the receive beam determined in downlink beam management as the transmit beam </w:t>
      </w:r>
      <w:r w:rsidR="000607DD">
        <w:rPr>
          <w:lang w:val="en-GB"/>
        </w:rPr>
        <w:t>in uplink</w:t>
      </w:r>
      <w:r>
        <w:rPr>
          <w:lang w:val="en-GB"/>
        </w:rPr>
        <w:t>.</w:t>
      </w:r>
      <w:r w:rsidR="00A71964">
        <w:rPr>
          <w:lang w:val="en-GB"/>
        </w:rPr>
        <w:t xml:space="preserve">  </w:t>
      </w:r>
    </w:p>
    <w:p w14:paraId="18003FE5" w14:textId="5CF1589F" w:rsidR="0007593F" w:rsidRDefault="0007593F" w:rsidP="00E46F11">
      <w:pPr>
        <w:jc w:val="both"/>
        <w:rPr>
          <w:lang w:val="en-GB"/>
        </w:rPr>
      </w:pPr>
      <w:r>
        <w:rPr>
          <w:lang w:val="en-GB"/>
        </w:rPr>
        <w:t>At the UE side, there could be multiple ports on a received beam.  Similar to Alt-2 and Alt-3, the TRI can be signalled to jointly indicate the port selection and rank.  Depending on the receive beamforming type, subband uplink precoding may or may not be supported by this approach.  If analogue receive beamforming is implemented at the UE, the uplink precoding cannot be frequency selective.  However, if the receive beam is formed in digital, then the subband precoding is still possible in a gNB transparent manner.</w:t>
      </w:r>
    </w:p>
    <w:p w14:paraId="3DD8B5E8" w14:textId="0E0AAEC7" w:rsidR="00E529A8" w:rsidRPr="00E529A8" w:rsidRDefault="00E529A8" w:rsidP="00CB2C9B">
      <w:pPr>
        <w:jc w:val="both"/>
        <w:rPr>
          <w:lang w:val="en-GB"/>
        </w:rPr>
      </w:pPr>
      <w:r w:rsidRPr="00E529A8">
        <w:rPr>
          <w:lang w:val="en-GB"/>
        </w:rPr>
        <w:t xml:space="preserve">Based on above discussion, </w:t>
      </w:r>
      <w:r w:rsidR="00DA7FCA">
        <w:rPr>
          <w:lang w:val="en-GB"/>
        </w:rPr>
        <w:t xml:space="preserve">Alt-2 is actually a special case of Alt-3, when there is only one SRS resource is configured.  Both schemes </w:t>
      </w:r>
      <w:r>
        <w:rPr>
          <w:lang w:val="en-GB"/>
        </w:rPr>
        <w:t>can provide efficient support of uplink frequency selective precoding indication with minimum DCI overhead</w:t>
      </w:r>
      <w:r w:rsidR="00DA7FCA">
        <w:rPr>
          <w:lang w:val="en-GB"/>
        </w:rPr>
        <w:t>, while Alt-3 can further support multi-panel antennas at the UE side.</w:t>
      </w:r>
    </w:p>
    <w:p w14:paraId="75E25022" w14:textId="1BB29ACF" w:rsidR="00CB2C9B" w:rsidRPr="00333A9D" w:rsidRDefault="00CB2C9B" w:rsidP="00CB2C9B">
      <w:pPr>
        <w:jc w:val="both"/>
        <w:rPr>
          <w:b/>
          <w:i/>
          <w:lang w:val="en-GB"/>
        </w:rPr>
      </w:pPr>
      <w:r>
        <w:rPr>
          <w:b/>
          <w:i/>
          <w:lang w:val="en-GB"/>
        </w:rPr>
        <w:t>Proposal 1: NR support</w:t>
      </w:r>
      <w:r w:rsidR="00DA7FCA">
        <w:rPr>
          <w:b/>
          <w:i/>
          <w:lang w:val="en-GB"/>
        </w:rPr>
        <w:t>s</w:t>
      </w:r>
      <w:r>
        <w:rPr>
          <w:b/>
          <w:i/>
          <w:lang w:val="en-GB"/>
        </w:rPr>
        <w:t xml:space="preserve"> </w:t>
      </w:r>
      <w:r w:rsidR="00DA7FCA">
        <w:rPr>
          <w:b/>
          <w:i/>
          <w:lang w:val="en-GB"/>
        </w:rPr>
        <w:t xml:space="preserve">signaling of TRI and </w:t>
      </w:r>
      <w:r>
        <w:rPr>
          <w:b/>
          <w:i/>
          <w:lang w:val="en-GB"/>
        </w:rPr>
        <w:t>a single SRI (if multiple SRS resources are configured) for non-codebook based UL transmission.</w:t>
      </w:r>
    </w:p>
    <w:p w14:paraId="7E89C27E" w14:textId="74610614" w:rsidR="00833824" w:rsidRDefault="00833824" w:rsidP="00833824">
      <w:pPr>
        <w:pStyle w:val="Heading1"/>
        <w:jc w:val="both"/>
      </w:pPr>
      <w:r w:rsidRPr="00E05A22">
        <w:t xml:space="preserve">Conclusions </w:t>
      </w:r>
    </w:p>
    <w:p w14:paraId="6341DEF3" w14:textId="77777777" w:rsidR="00161D40" w:rsidRDefault="00833824" w:rsidP="00EF5DA3">
      <w:pPr>
        <w:jc w:val="both"/>
        <w:rPr>
          <w:lang w:val="en-GB"/>
        </w:rPr>
      </w:pPr>
      <w:r>
        <w:rPr>
          <w:lang w:val="en-GB"/>
        </w:rPr>
        <w:t xml:space="preserve">To summarize, </w:t>
      </w:r>
      <w:r w:rsidR="00843453">
        <w:rPr>
          <w:lang w:val="en-GB"/>
        </w:rPr>
        <w:t xml:space="preserve">we examined the performance implications of different schemes for non-codebook based UL transmission schemes. Specifically, the impact of DCI overhead in the case of frequency-selective precoding was discussed. </w:t>
      </w:r>
    </w:p>
    <w:p w14:paraId="323ED7D0" w14:textId="6066CFE1" w:rsidR="00212A20" w:rsidRDefault="00843453" w:rsidP="00EF5DA3">
      <w:pPr>
        <w:jc w:val="both"/>
        <w:rPr>
          <w:lang w:val="en-GB"/>
        </w:rPr>
      </w:pPr>
      <w:r>
        <w:rPr>
          <w:lang w:val="en-GB"/>
        </w:rPr>
        <w:t>We propose a new scheme that has low DCI overhead even when frequency selective precoding is enabled</w:t>
      </w:r>
      <w:r w:rsidR="002B2338">
        <w:rPr>
          <w:lang w:val="en-GB"/>
        </w:rPr>
        <w:t>, since only one SRI and one TRI are used to convey the allocated resource in the DCI</w:t>
      </w:r>
      <w:r>
        <w:rPr>
          <w:lang w:val="en-GB"/>
        </w:rPr>
        <w:t xml:space="preserve">. The proposal </w:t>
      </w:r>
      <w:r w:rsidR="002B2338">
        <w:rPr>
          <w:lang w:val="en-GB"/>
        </w:rPr>
        <w:t>is given below:</w:t>
      </w:r>
    </w:p>
    <w:p w14:paraId="183F16AA" w14:textId="77777777" w:rsidR="00EC15BA" w:rsidRPr="00333A9D" w:rsidRDefault="00EC15BA" w:rsidP="00EC15BA">
      <w:pPr>
        <w:jc w:val="both"/>
        <w:rPr>
          <w:b/>
          <w:i/>
          <w:lang w:val="en-GB"/>
        </w:rPr>
      </w:pPr>
      <w:r>
        <w:rPr>
          <w:b/>
          <w:i/>
          <w:lang w:val="en-GB"/>
        </w:rPr>
        <w:lastRenderedPageBreak/>
        <w:t>Proposal 1: NR supports signaling of TRI and a single SRI (if multiple SRS resources are configured) for non-codebook based UL transmission.</w:t>
      </w:r>
    </w:p>
    <w:p w14:paraId="59E71F76" w14:textId="26C79E2C" w:rsidR="00B06054" w:rsidRDefault="00D94878" w:rsidP="00D94878">
      <w:pPr>
        <w:pStyle w:val="Heading1"/>
        <w:textAlignment w:val="auto"/>
        <w:rPr>
          <w:lang w:val="en-US"/>
        </w:rPr>
      </w:pPr>
      <w:r>
        <w:rPr>
          <w:lang w:val="en-US"/>
        </w:rPr>
        <w:t xml:space="preserve"> </w:t>
      </w:r>
      <w:r w:rsidR="00B06054">
        <w:rPr>
          <w:lang w:val="en-US"/>
        </w:rPr>
        <w:t>References</w:t>
      </w:r>
    </w:p>
    <w:p w14:paraId="19BD9193" w14:textId="6D41B027" w:rsidR="0011034F" w:rsidRPr="00613119" w:rsidRDefault="00E65D9F" w:rsidP="00613119">
      <w:pPr>
        <w:pStyle w:val="References"/>
        <w:numPr>
          <w:ilvl w:val="0"/>
          <w:numId w:val="4"/>
        </w:numPr>
        <w:snapToGrid/>
        <w:spacing w:after="80"/>
        <w:rPr>
          <w:rFonts w:ascii="Times New Roman" w:hAnsi="Times New Roman"/>
          <w:sz w:val="20"/>
          <w:szCs w:val="20"/>
          <w:lang w:val="en-GB"/>
        </w:rPr>
      </w:pPr>
      <w:bookmarkStart w:id="1" w:name="_Ref485362179"/>
      <w:r>
        <w:rPr>
          <w:rFonts w:ascii="Times New Roman" w:hAnsi="Times New Roman"/>
          <w:sz w:val="20"/>
          <w:szCs w:val="20"/>
          <w:lang w:val="en-GB"/>
        </w:rPr>
        <w:t>Draft report of</w:t>
      </w:r>
      <w:r w:rsidR="00925B23">
        <w:rPr>
          <w:rFonts w:ascii="Times New Roman" w:hAnsi="Times New Roman"/>
          <w:sz w:val="20"/>
          <w:szCs w:val="20"/>
          <w:lang w:val="en-GB"/>
        </w:rPr>
        <w:t xml:space="preserve"> 3GPP TSG RAN WG1 </w:t>
      </w:r>
      <w:r w:rsidR="00250D13">
        <w:rPr>
          <w:rFonts w:ascii="Times New Roman" w:hAnsi="Times New Roman"/>
          <w:sz w:val="20"/>
          <w:szCs w:val="20"/>
          <w:lang w:val="en-GB"/>
        </w:rPr>
        <w:t>NR Ad-Hoc #2</w:t>
      </w:r>
      <w:r w:rsidR="00925B23">
        <w:rPr>
          <w:rFonts w:ascii="Times New Roman" w:hAnsi="Times New Roman"/>
          <w:sz w:val="20"/>
          <w:szCs w:val="20"/>
          <w:lang w:val="en-GB"/>
        </w:rPr>
        <w:t>.</w:t>
      </w:r>
      <w:bookmarkStart w:id="2" w:name="_Ref450583331"/>
      <w:bookmarkEnd w:id="1"/>
      <w:bookmarkEnd w:id="2"/>
    </w:p>
    <w:sectPr w:rsidR="0011034F" w:rsidRPr="00613119"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12D53" w14:textId="77777777" w:rsidR="0051574E" w:rsidRDefault="0051574E">
      <w:r>
        <w:separator/>
      </w:r>
    </w:p>
  </w:endnote>
  <w:endnote w:type="continuationSeparator" w:id="0">
    <w:p w14:paraId="5A7E5DAF" w14:textId="77777777" w:rsidR="0051574E" w:rsidRDefault="0051574E">
      <w:r>
        <w:continuationSeparator/>
      </w:r>
    </w:p>
  </w:endnote>
  <w:endnote w:type="continuationNotice" w:id="1">
    <w:p w14:paraId="7F262A01" w14:textId="77777777" w:rsidR="0051574E" w:rsidRDefault="00515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0BB" w14:textId="77777777" w:rsidR="009B0EA8" w:rsidRDefault="009B0E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9B0EA8" w:rsidRDefault="009B0E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0E00" w14:textId="54EF1BB7" w:rsidR="009B0EA8" w:rsidRDefault="009B0E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A737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737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2C884" w14:textId="77777777" w:rsidR="0051574E" w:rsidRDefault="0051574E">
      <w:r>
        <w:separator/>
      </w:r>
    </w:p>
  </w:footnote>
  <w:footnote w:type="continuationSeparator" w:id="0">
    <w:p w14:paraId="02D8CEC8" w14:textId="77777777" w:rsidR="0051574E" w:rsidRDefault="0051574E">
      <w:r>
        <w:continuationSeparator/>
      </w:r>
    </w:p>
  </w:footnote>
  <w:footnote w:type="continuationNotice" w:id="1">
    <w:p w14:paraId="4C75CF05" w14:textId="77777777" w:rsidR="0051574E" w:rsidRDefault="00515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67E5C" w14:textId="77777777" w:rsidR="009B0EA8" w:rsidRDefault="009B0E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4C453B"/>
    <w:multiLevelType w:val="hybridMultilevel"/>
    <w:tmpl w:val="7FF07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953C45"/>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06DEE"/>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C2D3D"/>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B14C79"/>
    <w:multiLevelType w:val="hybridMultilevel"/>
    <w:tmpl w:val="950EB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086981"/>
    <w:multiLevelType w:val="hybridMultilevel"/>
    <w:tmpl w:val="29505210"/>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7B0AFC"/>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0"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3"/>
    <w:lvlOverride w:ilvl="0">
      <w:startOverride w:val="1"/>
    </w:lvlOverride>
  </w:num>
  <w:num w:numId="4">
    <w:abstractNumId w:val="19"/>
    <w:lvlOverride w:ilvl="0">
      <w:startOverride w:val="1"/>
    </w:lvlOverride>
  </w:num>
  <w:num w:numId="5">
    <w:abstractNumId w:val="6"/>
  </w:num>
  <w:num w:numId="6">
    <w:abstractNumId w:val="0"/>
  </w:num>
  <w:num w:numId="7">
    <w:abstractNumId w:val="20"/>
  </w:num>
  <w:num w:numId="8">
    <w:abstractNumId w:val="1"/>
  </w:num>
  <w:num w:numId="9">
    <w:abstractNumId w:val="3"/>
  </w:num>
  <w:num w:numId="10">
    <w:abstractNumId w:val="8"/>
  </w:num>
  <w:num w:numId="11">
    <w:abstractNumId w:val="5"/>
  </w:num>
  <w:num w:numId="12">
    <w:abstractNumId w:val="7"/>
  </w:num>
  <w:num w:numId="13">
    <w:abstractNumId w:val="18"/>
  </w:num>
  <w:num w:numId="14">
    <w:abstractNumId w:val="2"/>
  </w:num>
  <w:num w:numId="15">
    <w:abstractNumId w:val="14"/>
  </w:num>
  <w:num w:numId="16">
    <w:abstractNumId w:val="9"/>
  </w:num>
  <w:num w:numId="17">
    <w:abstractNumId w:val="4"/>
  </w:num>
  <w:num w:numId="18">
    <w:abstractNumId w:val="15"/>
  </w:num>
  <w:num w:numId="19">
    <w:abstractNumId w:val="12"/>
  </w:num>
  <w:num w:numId="20">
    <w:abstractNumId w:val="2"/>
  </w:num>
  <w:num w:numId="21">
    <w:abstractNumId w:val="17"/>
  </w:num>
  <w:num w:numId="22">
    <w:abstractNumId w:val="16"/>
  </w:num>
  <w:num w:numId="2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5A65"/>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4EAE"/>
    <w:rsid w:val="00015BCB"/>
    <w:rsid w:val="00015CED"/>
    <w:rsid w:val="000162B2"/>
    <w:rsid w:val="0001645D"/>
    <w:rsid w:val="000164BB"/>
    <w:rsid w:val="000167A6"/>
    <w:rsid w:val="00016DCE"/>
    <w:rsid w:val="00017309"/>
    <w:rsid w:val="0002002A"/>
    <w:rsid w:val="000205C1"/>
    <w:rsid w:val="0002079D"/>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1A9"/>
    <w:rsid w:val="0003723F"/>
    <w:rsid w:val="000377E3"/>
    <w:rsid w:val="00037A21"/>
    <w:rsid w:val="00037C2D"/>
    <w:rsid w:val="000402B6"/>
    <w:rsid w:val="000404F2"/>
    <w:rsid w:val="00040AAD"/>
    <w:rsid w:val="00040C15"/>
    <w:rsid w:val="00040D5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1FE"/>
    <w:rsid w:val="000472F3"/>
    <w:rsid w:val="000477BB"/>
    <w:rsid w:val="0004784D"/>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7DD"/>
    <w:rsid w:val="0006090A"/>
    <w:rsid w:val="00060986"/>
    <w:rsid w:val="00060FDB"/>
    <w:rsid w:val="000612C5"/>
    <w:rsid w:val="000613C1"/>
    <w:rsid w:val="000616E1"/>
    <w:rsid w:val="00061BDC"/>
    <w:rsid w:val="00061CE9"/>
    <w:rsid w:val="00061D2A"/>
    <w:rsid w:val="000621A9"/>
    <w:rsid w:val="000623BC"/>
    <w:rsid w:val="0006263A"/>
    <w:rsid w:val="00062D9A"/>
    <w:rsid w:val="000631CE"/>
    <w:rsid w:val="00063485"/>
    <w:rsid w:val="00063F57"/>
    <w:rsid w:val="000647B1"/>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5AA"/>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10F"/>
    <w:rsid w:val="000752CD"/>
    <w:rsid w:val="00075680"/>
    <w:rsid w:val="0007593F"/>
    <w:rsid w:val="00075999"/>
    <w:rsid w:val="00075AB6"/>
    <w:rsid w:val="00076408"/>
    <w:rsid w:val="00076608"/>
    <w:rsid w:val="00076B97"/>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99C"/>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16"/>
    <w:rsid w:val="00093566"/>
    <w:rsid w:val="00093853"/>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E8"/>
    <w:rsid w:val="000A0CA1"/>
    <w:rsid w:val="000A0E99"/>
    <w:rsid w:val="000A10A3"/>
    <w:rsid w:val="000A1AD3"/>
    <w:rsid w:val="000A1D49"/>
    <w:rsid w:val="000A23E5"/>
    <w:rsid w:val="000A26E4"/>
    <w:rsid w:val="000A2D70"/>
    <w:rsid w:val="000A31F7"/>
    <w:rsid w:val="000A3ACB"/>
    <w:rsid w:val="000A43AB"/>
    <w:rsid w:val="000A49DE"/>
    <w:rsid w:val="000A4B74"/>
    <w:rsid w:val="000A4FEA"/>
    <w:rsid w:val="000A52F5"/>
    <w:rsid w:val="000A54DF"/>
    <w:rsid w:val="000A5AD4"/>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28"/>
    <w:rsid w:val="000B3F37"/>
    <w:rsid w:val="000B4788"/>
    <w:rsid w:val="000B49D7"/>
    <w:rsid w:val="000B546F"/>
    <w:rsid w:val="000B6030"/>
    <w:rsid w:val="000B65BE"/>
    <w:rsid w:val="000B6BDF"/>
    <w:rsid w:val="000B6CCE"/>
    <w:rsid w:val="000B71B6"/>
    <w:rsid w:val="000B78D1"/>
    <w:rsid w:val="000B7B2B"/>
    <w:rsid w:val="000B7D5E"/>
    <w:rsid w:val="000C0B7B"/>
    <w:rsid w:val="000C133A"/>
    <w:rsid w:val="000C1545"/>
    <w:rsid w:val="000C1DBD"/>
    <w:rsid w:val="000C240A"/>
    <w:rsid w:val="000C2DE1"/>
    <w:rsid w:val="000C2E7E"/>
    <w:rsid w:val="000C393F"/>
    <w:rsid w:val="000C4065"/>
    <w:rsid w:val="000C4137"/>
    <w:rsid w:val="000C4538"/>
    <w:rsid w:val="000C4C76"/>
    <w:rsid w:val="000C5086"/>
    <w:rsid w:val="000C5759"/>
    <w:rsid w:val="000C5C2C"/>
    <w:rsid w:val="000C5E7D"/>
    <w:rsid w:val="000C673C"/>
    <w:rsid w:val="000C69F8"/>
    <w:rsid w:val="000C6A01"/>
    <w:rsid w:val="000C71D9"/>
    <w:rsid w:val="000C7CCC"/>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D40"/>
    <w:rsid w:val="000E011D"/>
    <w:rsid w:val="000E03CF"/>
    <w:rsid w:val="000E0D89"/>
    <w:rsid w:val="000E1003"/>
    <w:rsid w:val="000E1313"/>
    <w:rsid w:val="000E14B9"/>
    <w:rsid w:val="000E182B"/>
    <w:rsid w:val="000E1E8E"/>
    <w:rsid w:val="000E1F00"/>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6CE"/>
    <w:rsid w:val="000E7F51"/>
    <w:rsid w:val="000F00D8"/>
    <w:rsid w:val="000F095B"/>
    <w:rsid w:val="000F13C4"/>
    <w:rsid w:val="000F13D7"/>
    <w:rsid w:val="000F17E4"/>
    <w:rsid w:val="000F1878"/>
    <w:rsid w:val="000F1CF3"/>
    <w:rsid w:val="000F1D5B"/>
    <w:rsid w:val="000F1F98"/>
    <w:rsid w:val="000F20CD"/>
    <w:rsid w:val="000F25B8"/>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C5"/>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2A"/>
    <w:rsid w:val="0012636F"/>
    <w:rsid w:val="001268D1"/>
    <w:rsid w:val="001274AC"/>
    <w:rsid w:val="001275E6"/>
    <w:rsid w:val="00127DE2"/>
    <w:rsid w:val="00127F28"/>
    <w:rsid w:val="0013016D"/>
    <w:rsid w:val="00130714"/>
    <w:rsid w:val="00130953"/>
    <w:rsid w:val="00130BBD"/>
    <w:rsid w:val="00131468"/>
    <w:rsid w:val="00131683"/>
    <w:rsid w:val="00131AC6"/>
    <w:rsid w:val="001321CE"/>
    <w:rsid w:val="001322B0"/>
    <w:rsid w:val="001324CC"/>
    <w:rsid w:val="00132671"/>
    <w:rsid w:val="00132767"/>
    <w:rsid w:val="00132917"/>
    <w:rsid w:val="00132E89"/>
    <w:rsid w:val="0013334C"/>
    <w:rsid w:val="00133EBD"/>
    <w:rsid w:val="00135015"/>
    <w:rsid w:val="00135095"/>
    <w:rsid w:val="0013547B"/>
    <w:rsid w:val="00135517"/>
    <w:rsid w:val="00135829"/>
    <w:rsid w:val="00135884"/>
    <w:rsid w:val="001358A7"/>
    <w:rsid w:val="001358F4"/>
    <w:rsid w:val="0013612A"/>
    <w:rsid w:val="001361D8"/>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C64"/>
    <w:rsid w:val="00143C8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345"/>
    <w:rsid w:val="00155615"/>
    <w:rsid w:val="00155D53"/>
    <w:rsid w:val="0015622B"/>
    <w:rsid w:val="00156260"/>
    <w:rsid w:val="00156502"/>
    <w:rsid w:val="00157BFC"/>
    <w:rsid w:val="0016019C"/>
    <w:rsid w:val="001601C7"/>
    <w:rsid w:val="001602C2"/>
    <w:rsid w:val="00160674"/>
    <w:rsid w:val="00160786"/>
    <w:rsid w:val="00161D40"/>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6FBF"/>
    <w:rsid w:val="0016700E"/>
    <w:rsid w:val="00167125"/>
    <w:rsid w:val="0016733C"/>
    <w:rsid w:val="0016764C"/>
    <w:rsid w:val="00167869"/>
    <w:rsid w:val="00170397"/>
    <w:rsid w:val="001706E4"/>
    <w:rsid w:val="001708D0"/>
    <w:rsid w:val="00170E05"/>
    <w:rsid w:val="00171661"/>
    <w:rsid w:val="00171B5E"/>
    <w:rsid w:val="00171BC2"/>
    <w:rsid w:val="00171D7E"/>
    <w:rsid w:val="00171F14"/>
    <w:rsid w:val="00171F1C"/>
    <w:rsid w:val="00171FA8"/>
    <w:rsid w:val="001729E1"/>
    <w:rsid w:val="00172B61"/>
    <w:rsid w:val="00172C20"/>
    <w:rsid w:val="001738A5"/>
    <w:rsid w:val="00173A00"/>
    <w:rsid w:val="00173C4A"/>
    <w:rsid w:val="00173D38"/>
    <w:rsid w:val="00174DDB"/>
    <w:rsid w:val="00175009"/>
    <w:rsid w:val="001752EC"/>
    <w:rsid w:val="00175A51"/>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B7B"/>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6B8A"/>
    <w:rsid w:val="0018767B"/>
    <w:rsid w:val="00187856"/>
    <w:rsid w:val="001908C5"/>
    <w:rsid w:val="00190927"/>
    <w:rsid w:val="00190BD5"/>
    <w:rsid w:val="00190C5A"/>
    <w:rsid w:val="00191727"/>
    <w:rsid w:val="00191951"/>
    <w:rsid w:val="00191EBF"/>
    <w:rsid w:val="00192338"/>
    <w:rsid w:val="00192589"/>
    <w:rsid w:val="001925E5"/>
    <w:rsid w:val="001929F7"/>
    <w:rsid w:val="00193987"/>
    <w:rsid w:val="00193998"/>
    <w:rsid w:val="00194955"/>
    <w:rsid w:val="00195593"/>
    <w:rsid w:val="0019573B"/>
    <w:rsid w:val="0019592C"/>
    <w:rsid w:val="00196085"/>
    <w:rsid w:val="00196514"/>
    <w:rsid w:val="00196700"/>
    <w:rsid w:val="00196B90"/>
    <w:rsid w:val="00196DE8"/>
    <w:rsid w:val="00196FF4"/>
    <w:rsid w:val="0019734F"/>
    <w:rsid w:val="00197781"/>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132"/>
    <w:rsid w:val="001C16A9"/>
    <w:rsid w:val="001C19EB"/>
    <w:rsid w:val="001C1E53"/>
    <w:rsid w:val="001C211D"/>
    <w:rsid w:val="001C2A8B"/>
    <w:rsid w:val="001C3434"/>
    <w:rsid w:val="001C3474"/>
    <w:rsid w:val="001C38FE"/>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69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D7F"/>
    <w:rsid w:val="00210F42"/>
    <w:rsid w:val="00211042"/>
    <w:rsid w:val="00211345"/>
    <w:rsid w:val="002114FA"/>
    <w:rsid w:val="00211CD2"/>
    <w:rsid w:val="00211D31"/>
    <w:rsid w:val="00211DD9"/>
    <w:rsid w:val="00212816"/>
    <w:rsid w:val="00212A20"/>
    <w:rsid w:val="002130BD"/>
    <w:rsid w:val="00213851"/>
    <w:rsid w:val="00214E0D"/>
    <w:rsid w:val="0021512E"/>
    <w:rsid w:val="00215250"/>
    <w:rsid w:val="0021586D"/>
    <w:rsid w:val="002158D6"/>
    <w:rsid w:val="00215B81"/>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2D8"/>
    <w:rsid w:val="00223833"/>
    <w:rsid w:val="00223ACD"/>
    <w:rsid w:val="00224A38"/>
    <w:rsid w:val="00224A9B"/>
    <w:rsid w:val="0022657F"/>
    <w:rsid w:val="002269A7"/>
    <w:rsid w:val="00226A52"/>
    <w:rsid w:val="00226AE0"/>
    <w:rsid w:val="00226BD3"/>
    <w:rsid w:val="00226E25"/>
    <w:rsid w:val="0022735A"/>
    <w:rsid w:val="00227652"/>
    <w:rsid w:val="00227850"/>
    <w:rsid w:val="00227873"/>
    <w:rsid w:val="002279D2"/>
    <w:rsid w:val="00227D0D"/>
    <w:rsid w:val="00227E2C"/>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5F4"/>
    <w:rsid w:val="00245A41"/>
    <w:rsid w:val="00245B70"/>
    <w:rsid w:val="00245D7D"/>
    <w:rsid w:val="00245E39"/>
    <w:rsid w:val="00245FBA"/>
    <w:rsid w:val="00246BEB"/>
    <w:rsid w:val="00246C52"/>
    <w:rsid w:val="00246EB6"/>
    <w:rsid w:val="002475BE"/>
    <w:rsid w:val="00247660"/>
    <w:rsid w:val="0024785A"/>
    <w:rsid w:val="00247A0A"/>
    <w:rsid w:val="00247C92"/>
    <w:rsid w:val="00247DD1"/>
    <w:rsid w:val="002506F5"/>
    <w:rsid w:val="00250D13"/>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AA2"/>
    <w:rsid w:val="00261D05"/>
    <w:rsid w:val="002623AC"/>
    <w:rsid w:val="00262979"/>
    <w:rsid w:val="00262CB1"/>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6D6"/>
    <w:rsid w:val="00270C63"/>
    <w:rsid w:val="00270C98"/>
    <w:rsid w:val="00270CF1"/>
    <w:rsid w:val="00270E57"/>
    <w:rsid w:val="002711C3"/>
    <w:rsid w:val="002713CE"/>
    <w:rsid w:val="0027193C"/>
    <w:rsid w:val="00271EEF"/>
    <w:rsid w:val="00271F29"/>
    <w:rsid w:val="0027242C"/>
    <w:rsid w:val="00272474"/>
    <w:rsid w:val="0027257A"/>
    <w:rsid w:val="00272D06"/>
    <w:rsid w:val="00272EE0"/>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C72"/>
    <w:rsid w:val="00286F76"/>
    <w:rsid w:val="00287376"/>
    <w:rsid w:val="002877DE"/>
    <w:rsid w:val="00287C28"/>
    <w:rsid w:val="00287C39"/>
    <w:rsid w:val="00290254"/>
    <w:rsid w:val="00290C83"/>
    <w:rsid w:val="0029142E"/>
    <w:rsid w:val="002915DA"/>
    <w:rsid w:val="0029178F"/>
    <w:rsid w:val="00291C45"/>
    <w:rsid w:val="00292175"/>
    <w:rsid w:val="00292540"/>
    <w:rsid w:val="00293504"/>
    <w:rsid w:val="00293C49"/>
    <w:rsid w:val="00294266"/>
    <w:rsid w:val="002944CA"/>
    <w:rsid w:val="00294504"/>
    <w:rsid w:val="00294722"/>
    <w:rsid w:val="00294AB1"/>
    <w:rsid w:val="00294C8C"/>
    <w:rsid w:val="00295226"/>
    <w:rsid w:val="002953D0"/>
    <w:rsid w:val="00295F1C"/>
    <w:rsid w:val="002960D8"/>
    <w:rsid w:val="00296365"/>
    <w:rsid w:val="00296758"/>
    <w:rsid w:val="0029696C"/>
    <w:rsid w:val="00296D93"/>
    <w:rsid w:val="00296FD8"/>
    <w:rsid w:val="00297256"/>
    <w:rsid w:val="0029743A"/>
    <w:rsid w:val="00297499"/>
    <w:rsid w:val="002974AA"/>
    <w:rsid w:val="002977A0"/>
    <w:rsid w:val="00297A89"/>
    <w:rsid w:val="00297F46"/>
    <w:rsid w:val="002A01F4"/>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886"/>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338"/>
    <w:rsid w:val="002B2C92"/>
    <w:rsid w:val="002B3081"/>
    <w:rsid w:val="002B318B"/>
    <w:rsid w:val="002B32BC"/>
    <w:rsid w:val="002B340B"/>
    <w:rsid w:val="002B34AE"/>
    <w:rsid w:val="002B3D90"/>
    <w:rsid w:val="002B4056"/>
    <w:rsid w:val="002B453B"/>
    <w:rsid w:val="002B4C39"/>
    <w:rsid w:val="002B601A"/>
    <w:rsid w:val="002B61F1"/>
    <w:rsid w:val="002B64FE"/>
    <w:rsid w:val="002B694E"/>
    <w:rsid w:val="002B6D31"/>
    <w:rsid w:val="002B7D56"/>
    <w:rsid w:val="002C04C2"/>
    <w:rsid w:val="002C0818"/>
    <w:rsid w:val="002C0AAA"/>
    <w:rsid w:val="002C0D11"/>
    <w:rsid w:val="002C1B17"/>
    <w:rsid w:val="002C203A"/>
    <w:rsid w:val="002C2AE9"/>
    <w:rsid w:val="002C2B29"/>
    <w:rsid w:val="002C2E8A"/>
    <w:rsid w:val="002C2F48"/>
    <w:rsid w:val="002C2FCD"/>
    <w:rsid w:val="002C3AE4"/>
    <w:rsid w:val="002C3E89"/>
    <w:rsid w:val="002C42AA"/>
    <w:rsid w:val="002C4447"/>
    <w:rsid w:val="002C4AF6"/>
    <w:rsid w:val="002C5533"/>
    <w:rsid w:val="002C560F"/>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1F5B"/>
    <w:rsid w:val="002D2B4E"/>
    <w:rsid w:val="002D2F9B"/>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3960"/>
    <w:rsid w:val="002E4301"/>
    <w:rsid w:val="002E58E1"/>
    <w:rsid w:val="002E5BDD"/>
    <w:rsid w:val="002E5C56"/>
    <w:rsid w:val="002E5D86"/>
    <w:rsid w:val="002E5DD7"/>
    <w:rsid w:val="002E6809"/>
    <w:rsid w:val="002E715B"/>
    <w:rsid w:val="002F0045"/>
    <w:rsid w:val="002F00F0"/>
    <w:rsid w:val="002F025B"/>
    <w:rsid w:val="002F0684"/>
    <w:rsid w:val="002F09C0"/>
    <w:rsid w:val="002F0ADB"/>
    <w:rsid w:val="002F0E34"/>
    <w:rsid w:val="002F2AE0"/>
    <w:rsid w:val="002F2CD3"/>
    <w:rsid w:val="002F2E1A"/>
    <w:rsid w:val="002F3157"/>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277"/>
    <w:rsid w:val="00304556"/>
    <w:rsid w:val="00304AC5"/>
    <w:rsid w:val="00304C9E"/>
    <w:rsid w:val="003065FB"/>
    <w:rsid w:val="00306ED2"/>
    <w:rsid w:val="00306F89"/>
    <w:rsid w:val="0030749E"/>
    <w:rsid w:val="003077E5"/>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02A"/>
    <w:rsid w:val="00323FAD"/>
    <w:rsid w:val="00324089"/>
    <w:rsid w:val="00324701"/>
    <w:rsid w:val="0032489D"/>
    <w:rsid w:val="003249F8"/>
    <w:rsid w:val="00324E34"/>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A9D"/>
    <w:rsid w:val="00333FDF"/>
    <w:rsid w:val="00334CE7"/>
    <w:rsid w:val="00335250"/>
    <w:rsid w:val="00335287"/>
    <w:rsid w:val="00335670"/>
    <w:rsid w:val="0033572D"/>
    <w:rsid w:val="0033592C"/>
    <w:rsid w:val="00335E2A"/>
    <w:rsid w:val="003365FB"/>
    <w:rsid w:val="00336611"/>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1CF"/>
    <w:rsid w:val="00344725"/>
    <w:rsid w:val="003447DB"/>
    <w:rsid w:val="00344901"/>
    <w:rsid w:val="0034511B"/>
    <w:rsid w:val="0034745C"/>
    <w:rsid w:val="003474CD"/>
    <w:rsid w:val="003479B6"/>
    <w:rsid w:val="0035025F"/>
    <w:rsid w:val="0035041A"/>
    <w:rsid w:val="003505AD"/>
    <w:rsid w:val="00350631"/>
    <w:rsid w:val="00350EE7"/>
    <w:rsid w:val="00351439"/>
    <w:rsid w:val="0035180B"/>
    <w:rsid w:val="00351C98"/>
    <w:rsid w:val="00351FBA"/>
    <w:rsid w:val="0035216E"/>
    <w:rsid w:val="00352759"/>
    <w:rsid w:val="00352828"/>
    <w:rsid w:val="00352952"/>
    <w:rsid w:val="00352DAE"/>
    <w:rsid w:val="003530A0"/>
    <w:rsid w:val="003531B0"/>
    <w:rsid w:val="003532D2"/>
    <w:rsid w:val="003536C6"/>
    <w:rsid w:val="003539B2"/>
    <w:rsid w:val="0035414B"/>
    <w:rsid w:val="00354963"/>
    <w:rsid w:val="00354C2B"/>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4C54"/>
    <w:rsid w:val="00365023"/>
    <w:rsid w:val="0036539D"/>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7773F"/>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3A13"/>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A7BD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2FF1"/>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10"/>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904"/>
    <w:rsid w:val="003F2A56"/>
    <w:rsid w:val="003F2C24"/>
    <w:rsid w:val="003F32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62"/>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C21"/>
    <w:rsid w:val="00405D95"/>
    <w:rsid w:val="00405F90"/>
    <w:rsid w:val="00406108"/>
    <w:rsid w:val="00406412"/>
    <w:rsid w:val="00406F4B"/>
    <w:rsid w:val="00406FBD"/>
    <w:rsid w:val="004073B0"/>
    <w:rsid w:val="00407612"/>
    <w:rsid w:val="0041029D"/>
    <w:rsid w:val="004102A7"/>
    <w:rsid w:val="00411230"/>
    <w:rsid w:val="00411362"/>
    <w:rsid w:val="004116C3"/>
    <w:rsid w:val="004118C9"/>
    <w:rsid w:val="00411C9D"/>
    <w:rsid w:val="0041249C"/>
    <w:rsid w:val="00412697"/>
    <w:rsid w:val="0041280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99B"/>
    <w:rsid w:val="00433C4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973"/>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64C"/>
    <w:rsid w:val="004439AB"/>
    <w:rsid w:val="00443A73"/>
    <w:rsid w:val="0044418F"/>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0EF4"/>
    <w:rsid w:val="0045169D"/>
    <w:rsid w:val="004517C7"/>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A91"/>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AE4"/>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1B0"/>
    <w:rsid w:val="00482389"/>
    <w:rsid w:val="00482943"/>
    <w:rsid w:val="00482ADC"/>
    <w:rsid w:val="00483D11"/>
    <w:rsid w:val="00483D20"/>
    <w:rsid w:val="0048406D"/>
    <w:rsid w:val="0048424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2CF"/>
    <w:rsid w:val="004924E5"/>
    <w:rsid w:val="00492597"/>
    <w:rsid w:val="00492619"/>
    <w:rsid w:val="004927D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3D2F"/>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B2C"/>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CD3"/>
    <w:rsid w:val="004B4F6B"/>
    <w:rsid w:val="004B50E0"/>
    <w:rsid w:val="004B55EC"/>
    <w:rsid w:val="004B5659"/>
    <w:rsid w:val="004B5914"/>
    <w:rsid w:val="004B6301"/>
    <w:rsid w:val="004B6FFB"/>
    <w:rsid w:val="004B7311"/>
    <w:rsid w:val="004B795F"/>
    <w:rsid w:val="004B7BA5"/>
    <w:rsid w:val="004C0346"/>
    <w:rsid w:val="004C06EA"/>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7CB"/>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5B6"/>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0BBC"/>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6AC"/>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06"/>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74E"/>
    <w:rsid w:val="00515907"/>
    <w:rsid w:val="00515E2B"/>
    <w:rsid w:val="00516B96"/>
    <w:rsid w:val="00516E9E"/>
    <w:rsid w:val="005173A4"/>
    <w:rsid w:val="005179DC"/>
    <w:rsid w:val="0052001B"/>
    <w:rsid w:val="00520314"/>
    <w:rsid w:val="00520AE3"/>
    <w:rsid w:val="00521294"/>
    <w:rsid w:val="00521D65"/>
    <w:rsid w:val="005221A4"/>
    <w:rsid w:val="00523366"/>
    <w:rsid w:val="0052381F"/>
    <w:rsid w:val="00523E18"/>
    <w:rsid w:val="00523F11"/>
    <w:rsid w:val="00523F32"/>
    <w:rsid w:val="0052422C"/>
    <w:rsid w:val="005244D5"/>
    <w:rsid w:val="00524AD1"/>
    <w:rsid w:val="00524AE9"/>
    <w:rsid w:val="00524C56"/>
    <w:rsid w:val="00524D25"/>
    <w:rsid w:val="00524E6A"/>
    <w:rsid w:val="00525098"/>
    <w:rsid w:val="005251DA"/>
    <w:rsid w:val="00525407"/>
    <w:rsid w:val="00525F71"/>
    <w:rsid w:val="00526270"/>
    <w:rsid w:val="005269C2"/>
    <w:rsid w:val="00526A5E"/>
    <w:rsid w:val="00526C8A"/>
    <w:rsid w:val="005272A8"/>
    <w:rsid w:val="00527489"/>
    <w:rsid w:val="005275BE"/>
    <w:rsid w:val="00527860"/>
    <w:rsid w:val="00527A58"/>
    <w:rsid w:val="0053012B"/>
    <w:rsid w:val="005304B1"/>
    <w:rsid w:val="0053066C"/>
    <w:rsid w:val="00530A75"/>
    <w:rsid w:val="00530AFD"/>
    <w:rsid w:val="00531562"/>
    <w:rsid w:val="0053173A"/>
    <w:rsid w:val="00531824"/>
    <w:rsid w:val="00531AF4"/>
    <w:rsid w:val="00531EA2"/>
    <w:rsid w:val="00531F71"/>
    <w:rsid w:val="00532292"/>
    <w:rsid w:val="005323A0"/>
    <w:rsid w:val="00532462"/>
    <w:rsid w:val="005326A0"/>
    <w:rsid w:val="00532B16"/>
    <w:rsid w:val="00532C9D"/>
    <w:rsid w:val="00533215"/>
    <w:rsid w:val="005334E4"/>
    <w:rsid w:val="00533C61"/>
    <w:rsid w:val="00533F4E"/>
    <w:rsid w:val="005347FB"/>
    <w:rsid w:val="00534963"/>
    <w:rsid w:val="005349EB"/>
    <w:rsid w:val="00534AA6"/>
    <w:rsid w:val="00534C83"/>
    <w:rsid w:val="00534EE4"/>
    <w:rsid w:val="00535432"/>
    <w:rsid w:val="00535A27"/>
    <w:rsid w:val="00535B60"/>
    <w:rsid w:val="00536ACE"/>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B81"/>
    <w:rsid w:val="00550D6F"/>
    <w:rsid w:val="005511B1"/>
    <w:rsid w:val="00551248"/>
    <w:rsid w:val="00551593"/>
    <w:rsid w:val="00551E52"/>
    <w:rsid w:val="00552038"/>
    <w:rsid w:val="0055233E"/>
    <w:rsid w:val="00552569"/>
    <w:rsid w:val="005528E1"/>
    <w:rsid w:val="00552E20"/>
    <w:rsid w:val="00552FF4"/>
    <w:rsid w:val="00553A48"/>
    <w:rsid w:val="00553ABB"/>
    <w:rsid w:val="00553D29"/>
    <w:rsid w:val="0055410A"/>
    <w:rsid w:val="005546A4"/>
    <w:rsid w:val="005547CB"/>
    <w:rsid w:val="00554DF7"/>
    <w:rsid w:val="005552B9"/>
    <w:rsid w:val="00555520"/>
    <w:rsid w:val="00555713"/>
    <w:rsid w:val="00555772"/>
    <w:rsid w:val="00555D6F"/>
    <w:rsid w:val="00556680"/>
    <w:rsid w:val="00556763"/>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211"/>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7E2"/>
    <w:rsid w:val="00572995"/>
    <w:rsid w:val="00572F26"/>
    <w:rsid w:val="005730FF"/>
    <w:rsid w:val="0057380A"/>
    <w:rsid w:val="00573BB0"/>
    <w:rsid w:val="00573D2B"/>
    <w:rsid w:val="00573F24"/>
    <w:rsid w:val="00574167"/>
    <w:rsid w:val="00574D14"/>
    <w:rsid w:val="00574FDC"/>
    <w:rsid w:val="005753DB"/>
    <w:rsid w:val="005756BD"/>
    <w:rsid w:val="00575813"/>
    <w:rsid w:val="00575C40"/>
    <w:rsid w:val="005760C5"/>
    <w:rsid w:val="005766EA"/>
    <w:rsid w:val="00576A37"/>
    <w:rsid w:val="00577368"/>
    <w:rsid w:val="005773FF"/>
    <w:rsid w:val="00577540"/>
    <w:rsid w:val="005777AC"/>
    <w:rsid w:val="00577EB4"/>
    <w:rsid w:val="00581081"/>
    <w:rsid w:val="00581116"/>
    <w:rsid w:val="005815D2"/>
    <w:rsid w:val="005816AB"/>
    <w:rsid w:val="005818D4"/>
    <w:rsid w:val="005819D7"/>
    <w:rsid w:val="00581AB8"/>
    <w:rsid w:val="00581C6E"/>
    <w:rsid w:val="00581F40"/>
    <w:rsid w:val="005829CC"/>
    <w:rsid w:val="00582E3D"/>
    <w:rsid w:val="00583147"/>
    <w:rsid w:val="005836D0"/>
    <w:rsid w:val="00583AF3"/>
    <w:rsid w:val="00583DEF"/>
    <w:rsid w:val="00583E78"/>
    <w:rsid w:val="00584496"/>
    <w:rsid w:val="0058522A"/>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5EF"/>
    <w:rsid w:val="0059284F"/>
    <w:rsid w:val="00592E68"/>
    <w:rsid w:val="00592F01"/>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03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38D4"/>
    <w:rsid w:val="005C41BE"/>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5BC"/>
    <w:rsid w:val="005D0790"/>
    <w:rsid w:val="005D0D3E"/>
    <w:rsid w:val="005D17BF"/>
    <w:rsid w:val="005D18B1"/>
    <w:rsid w:val="005D20FC"/>
    <w:rsid w:val="005D2499"/>
    <w:rsid w:val="005D24A2"/>
    <w:rsid w:val="005D25D7"/>
    <w:rsid w:val="005D2A49"/>
    <w:rsid w:val="005D2CB0"/>
    <w:rsid w:val="005D2EE8"/>
    <w:rsid w:val="005D3534"/>
    <w:rsid w:val="005D3707"/>
    <w:rsid w:val="005D3AF0"/>
    <w:rsid w:val="005D3BFD"/>
    <w:rsid w:val="005D46E9"/>
    <w:rsid w:val="005D5012"/>
    <w:rsid w:val="005D556D"/>
    <w:rsid w:val="005D5E46"/>
    <w:rsid w:val="005D604A"/>
    <w:rsid w:val="005D609E"/>
    <w:rsid w:val="005D64A5"/>
    <w:rsid w:val="005D68CA"/>
    <w:rsid w:val="005D6929"/>
    <w:rsid w:val="005D6B30"/>
    <w:rsid w:val="005D6E1C"/>
    <w:rsid w:val="005D7539"/>
    <w:rsid w:val="005D7E04"/>
    <w:rsid w:val="005E0082"/>
    <w:rsid w:val="005E06C4"/>
    <w:rsid w:val="005E06E1"/>
    <w:rsid w:val="005E0899"/>
    <w:rsid w:val="005E0E2A"/>
    <w:rsid w:val="005E1393"/>
    <w:rsid w:val="005E1411"/>
    <w:rsid w:val="005E3035"/>
    <w:rsid w:val="005E35FD"/>
    <w:rsid w:val="005E383F"/>
    <w:rsid w:val="005E39A1"/>
    <w:rsid w:val="005E3B77"/>
    <w:rsid w:val="005E48F7"/>
    <w:rsid w:val="005E4CCB"/>
    <w:rsid w:val="005E5563"/>
    <w:rsid w:val="005E59C5"/>
    <w:rsid w:val="005E5E74"/>
    <w:rsid w:val="005E66F1"/>
    <w:rsid w:val="005E6AFB"/>
    <w:rsid w:val="005E7698"/>
    <w:rsid w:val="005E76F9"/>
    <w:rsid w:val="005E7849"/>
    <w:rsid w:val="005E7A8C"/>
    <w:rsid w:val="005F06FA"/>
    <w:rsid w:val="005F06FD"/>
    <w:rsid w:val="005F0B4C"/>
    <w:rsid w:val="005F0B53"/>
    <w:rsid w:val="005F0C46"/>
    <w:rsid w:val="005F1FE4"/>
    <w:rsid w:val="005F367D"/>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47F"/>
    <w:rsid w:val="005F7CC1"/>
    <w:rsid w:val="006004DE"/>
    <w:rsid w:val="00600B6C"/>
    <w:rsid w:val="00601072"/>
    <w:rsid w:val="00601097"/>
    <w:rsid w:val="0060144E"/>
    <w:rsid w:val="00601FCD"/>
    <w:rsid w:val="00602354"/>
    <w:rsid w:val="0060254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F09"/>
    <w:rsid w:val="006113A9"/>
    <w:rsid w:val="00611C82"/>
    <w:rsid w:val="006125DB"/>
    <w:rsid w:val="00612C73"/>
    <w:rsid w:val="00612E96"/>
    <w:rsid w:val="00613119"/>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66"/>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DBF"/>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BC1"/>
    <w:rsid w:val="00637E00"/>
    <w:rsid w:val="006401C6"/>
    <w:rsid w:val="00640207"/>
    <w:rsid w:val="00640222"/>
    <w:rsid w:val="006409F3"/>
    <w:rsid w:val="00641061"/>
    <w:rsid w:val="006411DF"/>
    <w:rsid w:val="006419ED"/>
    <w:rsid w:val="006427DE"/>
    <w:rsid w:val="00642D10"/>
    <w:rsid w:val="00642E65"/>
    <w:rsid w:val="0064328E"/>
    <w:rsid w:val="006434D7"/>
    <w:rsid w:val="00643769"/>
    <w:rsid w:val="00643857"/>
    <w:rsid w:val="00643891"/>
    <w:rsid w:val="00643DCD"/>
    <w:rsid w:val="00644200"/>
    <w:rsid w:val="0064428B"/>
    <w:rsid w:val="00644511"/>
    <w:rsid w:val="0064486C"/>
    <w:rsid w:val="006449EB"/>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A8B"/>
    <w:rsid w:val="00656D6F"/>
    <w:rsid w:val="00657005"/>
    <w:rsid w:val="006572FB"/>
    <w:rsid w:val="006578D9"/>
    <w:rsid w:val="006579D4"/>
    <w:rsid w:val="00657F67"/>
    <w:rsid w:val="006605DC"/>
    <w:rsid w:val="006611DC"/>
    <w:rsid w:val="0066146F"/>
    <w:rsid w:val="00661636"/>
    <w:rsid w:val="00661CC2"/>
    <w:rsid w:val="00662166"/>
    <w:rsid w:val="00662FA2"/>
    <w:rsid w:val="0066310A"/>
    <w:rsid w:val="006635DC"/>
    <w:rsid w:val="00663908"/>
    <w:rsid w:val="00663B46"/>
    <w:rsid w:val="00663DAB"/>
    <w:rsid w:val="0066447D"/>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8CA"/>
    <w:rsid w:val="00670AD6"/>
    <w:rsid w:val="00670ECD"/>
    <w:rsid w:val="00671010"/>
    <w:rsid w:val="0067106A"/>
    <w:rsid w:val="00671B4F"/>
    <w:rsid w:val="006725CC"/>
    <w:rsid w:val="0067273D"/>
    <w:rsid w:val="00672966"/>
    <w:rsid w:val="006731DF"/>
    <w:rsid w:val="006735BC"/>
    <w:rsid w:val="00673BDE"/>
    <w:rsid w:val="00673EB7"/>
    <w:rsid w:val="00673F58"/>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6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73C"/>
    <w:rsid w:val="006A2BF5"/>
    <w:rsid w:val="006A2D0E"/>
    <w:rsid w:val="006A2E66"/>
    <w:rsid w:val="006A3227"/>
    <w:rsid w:val="006A3396"/>
    <w:rsid w:val="006A3F94"/>
    <w:rsid w:val="006A40D0"/>
    <w:rsid w:val="006A4113"/>
    <w:rsid w:val="006A49B5"/>
    <w:rsid w:val="006A4AF4"/>
    <w:rsid w:val="006A4FF3"/>
    <w:rsid w:val="006A5A45"/>
    <w:rsid w:val="006A5CA3"/>
    <w:rsid w:val="006A5D5C"/>
    <w:rsid w:val="006A5E26"/>
    <w:rsid w:val="006A6B3F"/>
    <w:rsid w:val="006A6B69"/>
    <w:rsid w:val="006A74C0"/>
    <w:rsid w:val="006A7574"/>
    <w:rsid w:val="006B0489"/>
    <w:rsid w:val="006B05F5"/>
    <w:rsid w:val="006B0A30"/>
    <w:rsid w:val="006B1168"/>
    <w:rsid w:val="006B1213"/>
    <w:rsid w:val="006B163E"/>
    <w:rsid w:val="006B166D"/>
    <w:rsid w:val="006B19B2"/>
    <w:rsid w:val="006B1A07"/>
    <w:rsid w:val="006B1DA2"/>
    <w:rsid w:val="006B1F5F"/>
    <w:rsid w:val="006B2008"/>
    <w:rsid w:val="006B21E9"/>
    <w:rsid w:val="006B2321"/>
    <w:rsid w:val="006B242D"/>
    <w:rsid w:val="006B2431"/>
    <w:rsid w:val="006B2496"/>
    <w:rsid w:val="006B393F"/>
    <w:rsid w:val="006B3E55"/>
    <w:rsid w:val="006B401E"/>
    <w:rsid w:val="006B5111"/>
    <w:rsid w:val="006B6346"/>
    <w:rsid w:val="006B6AD0"/>
    <w:rsid w:val="006B6BA3"/>
    <w:rsid w:val="006B6C83"/>
    <w:rsid w:val="006B6C95"/>
    <w:rsid w:val="006B6E0D"/>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9B9"/>
    <w:rsid w:val="006C6E92"/>
    <w:rsid w:val="006C75C9"/>
    <w:rsid w:val="006C7CAC"/>
    <w:rsid w:val="006C7FB9"/>
    <w:rsid w:val="006D0272"/>
    <w:rsid w:val="006D038E"/>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16A"/>
    <w:rsid w:val="006D667A"/>
    <w:rsid w:val="006D72E1"/>
    <w:rsid w:val="006D7329"/>
    <w:rsid w:val="006D74C9"/>
    <w:rsid w:val="006D7598"/>
    <w:rsid w:val="006D761C"/>
    <w:rsid w:val="006D7B93"/>
    <w:rsid w:val="006D7BBD"/>
    <w:rsid w:val="006D7C30"/>
    <w:rsid w:val="006D7D69"/>
    <w:rsid w:val="006D7DAD"/>
    <w:rsid w:val="006D7EC6"/>
    <w:rsid w:val="006E0566"/>
    <w:rsid w:val="006E08E7"/>
    <w:rsid w:val="006E0B16"/>
    <w:rsid w:val="006E1135"/>
    <w:rsid w:val="006E1469"/>
    <w:rsid w:val="006E176F"/>
    <w:rsid w:val="006E1C34"/>
    <w:rsid w:val="006E1E45"/>
    <w:rsid w:val="006E22CC"/>
    <w:rsid w:val="006E30AB"/>
    <w:rsid w:val="006E3D3A"/>
    <w:rsid w:val="006E3E68"/>
    <w:rsid w:val="006E4646"/>
    <w:rsid w:val="006E4875"/>
    <w:rsid w:val="006E512D"/>
    <w:rsid w:val="006E5477"/>
    <w:rsid w:val="006E554E"/>
    <w:rsid w:val="006E5AFE"/>
    <w:rsid w:val="006E6499"/>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0DD"/>
    <w:rsid w:val="006F5115"/>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0E"/>
    <w:rsid w:val="007017EA"/>
    <w:rsid w:val="0070181F"/>
    <w:rsid w:val="0070193E"/>
    <w:rsid w:val="00701B27"/>
    <w:rsid w:val="00701F97"/>
    <w:rsid w:val="00703026"/>
    <w:rsid w:val="007032E6"/>
    <w:rsid w:val="007036E5"/>
    <w:rsid w:val="00703D8A"/>
    <w:rsid w:val="00704123"/>
    <w:rsid w:val="00704641"/>
    <w:rsid w:val="007047A7"/>
    <w:rsid w:val="007050A6"/>
    <w:rsid w:val="00705517"/>
    <w:rsid w:val="007056ED"/>
    <w:rsid w:val="00705D28"/>
    <w:rsid w:val="00706AC2"/>
    <w:rsid w:val="0070743B"/>
    <w:rsid w:val="00707CC2"/>
    <w:rsid w:val="007101EE"/>
    <w:rsid w:val="0071044F"/>
    <w:rsid w:val="00710450"/>
    <w:rsid w:val="00710994"/>
    <w:rsid w:val="007109CD"/>
    <w:rsid w:val="00710A3E"/>
    <w:rsid w:val="00710D33"/>
    <w:rsid w:val="00711760"/>
    <w:rsid w:val="007118B6"/>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486"/>
    <w:rsid w:val="00722B72"/>
    <w:rsid w:val="00722BD3"/>
    <w:rsid w:val="00723099"/>
    <w:rsid w:val="007233B6"/>
    <w:rsid w:val="007233F1"/>
    <w:rsid w:val="0072350B"/>
    <w:rsid w:val="007238F1"/>
    <w:rsid w:val="00724426"/>
    <w:rsid w:val="00724437"/>
    <w:rsid w:val="007244BA"/>
    <w:rsid w:val="0072461A"/>
    <w:rsid w:val="00724713"/>
    <w:rsid w:val="00725068"/>
    <w:rsid w:val="0072560E"/>
    <w:rsid w:val="00725CB6"/>
    <w:rsid w:val="00725CDC"/>
    <w:rsid w:val="00726281"/>
    <w:rsid w:val="0072650B"/>
    <w:rsid w:val="00726537"/>
    <w:rsid w:val="0072665F"/>
    <w:rsid w:val="00727071"/>
    <w:rsid w:val="007271FE"/>
    <w:rsid w:val="007273EC"/>
    <w:rsid w:val="007279F1"/>
    <w:rsid w:val="00727C7E"/>
    <w:rsid w:val="00727E9F"/>
    <w:rsid w:val="0073128B"/>
    <w:rsid w:val="0073150C"/>
    <w:rsid w:val="0073171A"/>
    <w:rsid w:val="007325D3"/>
    <w:rsid w:val="00732885"/>
    <w:rsid w:val="00732EA4"/>
    <w:rsid w:val="00733858"/>
    <w:rsid w:val="00733A80"/>
    <w:rsid w:val="0073497A"/>
    <w:rsid w:val="0073532A"/>
    <w:rsid w:val="00736115"/>
    <w:rsid w:val="0073637C"/>
    <w:rsid w:val="00736886"/>
    <w:rsid w:val="00736D7B"/>
    <w:rsid w:val="00737389"/>
    <w:rsid w:val="007377ED"/>
    <w:rsid w:val="007379C8"/>
    <w:rsid w:val="00737AF0"/>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1F"/>
    <w:rsid w:val="00744E4F"/>
    <w:rsid w:val="0074526C"/>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936"/>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ACC"/>
    <w:rsid w:val="0076200C"/>
    <w:rsid w:val="00762924"/>
    <w:rsid w:val="0076295C"/>
    <w:rsid w:val="00762FA7"/>
    <w:rsid w:val="00763055"/>
    <w:rsid w:val="007632C1"/>
    <w:rsid w:val="00763432"/>
    <w:rsid w:val="00763448"/>
    <w:rsid w:val="00763545"/>
    <w:rsid w:val="00763EB7"/>
    <w:rsid w:val="00764043"/>
    <w:rsid w:val="00764EB8"/>
    <w:rsid w:val="00765098"/>
    <w:rsid w:val="007650A8"/>
    <w:rsid w:val="0076539C"/>
    <w:rsid w:val="00765832"/>
    <w:rsid w:val="00765C1C"/>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36A"/>
    <w:rsid w:val="007775DE"/>
    <w:rsid w:val="00777B46"/>
    <w:rsid w:val="00777D7D"/>
    <w:rsid w:val="00777EE9"/>
    <w:rsid w:val="00780980"/>
    <w:rsid w:val="007809E1"/>
    <w:rsid w:val="00780A03"/>
    <w:rsid w:val="00780AF4"/>
    <w:rsid w:val="00780F3D"/>
    <w:rsid w:val="00780F6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B6"/>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39"/>
    <w:rsid w:val="00795BA6"/>
    <w:rsid w:val="00795DC8"/>
    <w:rsid w:val="0079601B"/>
    <w:rsid w:val="007962E1"/>
    <w:rsid w:val="00796B15"/>
    <w:rsid w:val="007977E1"/>
    <w:rsid w:val="00797DAA"/>
    <w:rsid w:val="00797DEF"/>
    <w:rsid w:val="00797FCF"/>
    <w:rsid w:val="007A0616"/>
    <w:rsid w:val="007A0BDA"/>
    <w:rsid w:val="007A0CDD"/>
    <w:rsid w:val="007A0D0D"/>
    <w:rsid w:val="007A0DAC"/>
    <w:rsid w:val="007A1189"/>
    <w:rsid w:val="007A11A9"/>
    <w:rsid w:val="007A15BA"/>
    <w:rsid w:val="007A16E9"/>
    <w:rsid w:val="007A1B63"/>
    <w:rsid w:val="007A22D6"/>
    <w:rsid w:val="007A2BFF"/>
    <w:rsid w:val="007A2D56"/>
    <w:rsid w:val="007A31E6"/>
    <w:rsid w:val="007A320D"/>
    <w:rsid w:val="007A32B9"/>
    <w:rsid w:val="007A32E9"/>
    <w:rsid w:val="007A3395"/>
    <w:rsid w:val="007A3505"/>
    <w:rsid w:val="007A3BF2"/>
    <w:rsid w:val="007A408F"/>
    <w:rsid w:val="007A4338"/>
    <w:rsid w:val="007A4AF1"/>
    <w:rsid w:val="007A5288"/>
    <w:rsid w:val="007A54B9"/>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16E"/>
    <w:rsid w:val="007B258B"/>
    <w:rsid w:val="007B25C3"/>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772"/>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3ED"/>
    <w:rsid w:val="007D5CFA"/>
    <w:rsid w:val="007D6310"/>
    <w:rsid w:val="007D673F"/>
    <w:rsid w:val="007D68F4"/>
    <w:rsid w:val="007D6CE5"/>
    <w:rsid w:val="007D6E8A"/>
    <w:rsid w:val="007D6EF0"/>
    <w:rsid w:val="007D7042"/>
    <w:rsid w:val="007D7059"/>
    <w:rsid w:val="007E0162"/>
    <w:rsid w:val="007E0431"/>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34"/>
    <w:rsid w:val="007F18C0"/>
    <w:rsid w:val="007F1C3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6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A6A"/>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E49"/>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3D"/>
    <w:rsid w:val="00817C96"/>
    <w:rsid w:val="00817CB0"/>
    <w:rsid w:val="00817D2A"/>
    <w:rsid w:val="00817DA1"/>
    <w:rsid w:val="00817F27"/>
    <w:rsid w:val="0082172C"/>
    <w:rsid w:val="00821A22"/>
    <w:rsid w:val="00821C48"/>
    <w:rsid w:val="00821DC0"/>
    <w:rsid w:val="00822131"/>
    <w:rsid w:val="008223D4"/>
    <w:rsid w:val="00823335"/>
    <w:rsid w:val="008235E4"/>
    <w:rsid w:val="008237B2"/>
    <w:rsid w:val="00823B2A"/>
    <w:rsid w:val="00823F61"/>
    <w:rsid w:val="0082449E"/>
    <w:rsid w:val="008247A4"/>
    <w:rsid w:val="00824989"/>
    <w:rsid w:val="008249FF"/>
    <w:rsid w:val="008251EC"/>
    <w:rsid w:val="00825511"/>
    <w:rsid w:val="00825693"/>
    <w:rsid w:val="00825EEF"/>
    <w:rsid w:val="00826204"/>
    <w:rsid w:val="008263E0"/>
    <w:rsid w:val="00826D90"/>
    <w:rsid w:val="00827015"/>
    <w:rsid w:val="00827109"/>
    <w:rsid w:val="008272E9"/>
    <w:rsid w:val="008276C2"/>
    <w:rsid w:val="00827A41"/>
    <w:rsid w:val="00827AF3"/>
    <w:rsid w:val="0083078A"/>
    <w:rsid w:val="00830D70"/>
    <w:rsid w:val="0083179C"/>
    <w:rsid w:val="00831DA5"/>
    <w:rsid w:val="00832142"/>
    <w:rsid w:val="00832C18"/>
    <w:rsid w:val="00832CAF"/>
    <w:rsid w:val="0083311A"/>
    <w:rsid w:val="008337E2"/>
    <w:rsid w:val="00833824"/>
    <w:rsid w:val="0083417A"/>
    <w:rsid w:val="00834512"/>
    <w:rsid w:val="008349E7"/>
    <w:rsid w:val="0083502E"/>
    <w:rsid w:val="008350E9"/>
    <w:rsid w:val="00835625"/>
    <w:rsid w:val="00835B82"/>
    <w:rsid w:val="00836133"/>
    <w:rsid w:val="0083657B"/>
    <w:rsid w:val="00836B5B"/>
    <w:rsid w:val="00837286"/>
    <w:rsid w:val="00837399"/>
    <w:rsid w:val="0083768C"/>
    <w:rsid w:val="00837E87"/>
    <w:rsid w:val="008401C3"/>
    <w:rsid w:val="008404D7"/>
    <w:rsid w:val="00840634"/>
    <w:rsid w:val="00840A68"/>
    <w:rsid w:val="00840A83"/>
    <w:rsid w:val="00840D46"/>
    <w:rsid w:val="00840F0C"/>
    <w:rsid w:val="00841573"/>
    <w:rsid w:val="008419A1"/>
    <w:rsid w:val="00841EE6"/>
    <w:rsid w:val="00841FA0"/>
    <w:rsid w:val="00842061"/>
    <w:rsid w:val="0084296C"/>
    <w:rsid w:val="00842B49"/>
    <w:rsid w:val="00842DB7"/>
    <w:rsid w:val="00843453"/>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1A0"/>
    <w:rsid w:val="00847991"/>
    <w:rsid w:val="00847C4E"/>
    <w:rsid w:val="00847F69"/>
    <w:rsid w:val="00850AE8"/>
    <w:rsid w:val="00850B13"/>
    <w:rsid w:val="00851B22"/>
    <w:rsid w:val="00852338"/>
    <w:rsid w:val="00852AA6"/>
    <w:rsid w:val="008532A6"/>
    <w:rsid w:val="00853C45"/>
    <w:rsid w:val="00854090"/>
    <w:rsid w:val="008540C8"/>
    <w:rsid w:val="00854689"/>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77"/>
    <w:rsid w:val="00862988"/>
    <w:rsid w:val="00862A4E"/>
    <w:rsid w:val="00862BA2"/>
    <w:rsid w:val="00863096"/>
    <w:rsid w:val="00863479"/>
    <w:rsid w:val="008634D8"/>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B08"/>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763"/>
    <w:rsid w:val="00877C45"/>
    <w:rsid w:val="00877C57"/>
    <w:rsid w:val="00877FA3"/>
    <w:rsid w:val="008804C9"/>
    <w:rsid w:val="00880783"/>
    <w:rsid w:val="00880D84"/>
    <w:rsid w:val="00880E95"/>
    <w:rsid w:val="008810DF"/>
    <w:rsid w:val="008810FA"/>
    <w:rsid w:val="00881842"/>
    <w:rsid w:val="00881F28"/>
    <w:rsid w:val="008823E3"/>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5A5"/>
    <w:rsid w:val="008867FD"/>
    <w:rsid w:val="008876DF"/>
    <w:rsid w:val="00887771"/>
    <w:rsid w:val="00887FEF"/>
    <w:rsid w:val="008907B2"/>
    <w:rsid w:val="00890BCD"/>
    <w:rsid w:val="00890E0D"/>
    <w:rsid w:val="00890F04"/>
    <w:rsid w:val="00890FBE"/>
    <w:rsid w:val="00891768"/>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97605"/>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5665"/>
    <w:rsid w:val="008B60ED"/>
    <w:rsid w:val="008B66CB"/>
    <w:rsid w:val="008B6D24"/>
    <w:rsid w:val="008B6E5C"/>
    <w:rsid w:val="008C1161"/>
    <w:rsid w:val="008C1A38"/>
    <w:rsid w:val="008C2236"/>
    <w:rsid w:val="008C2426"/>
    <w:rsid w:val="008C2453"/>
    <w:rsid w:val="008C26B4"/>
    <w:rsid w:val="008C2767"/>
    <w:rsid w:val="008C4B47"/>
    <w:rsid w:val="008C570A"/>
    <w:rsid w:val="008C59D5"/>
    <w:rsid w:val="008C5B10"/>
    <w:rsid w:val="008C6970"/>
    <w:rsid w:val="008C6C7A"/>
    <w:rsid w:val="008C6F15"/>
    <w:rsid w:val="008C6F4F"/>
    <w:rsid w:val="008C6F9B"/>
    <w:rsid w:val="008C6FA2"/>
    <w:rsid w:val="008C7245"/>
    <w:rsid w:val="008C74CC"/>
    <w:rsid w:val="008C76D5"/>
    <w:rsid w:val="008C7F77"/>
    <w:rsid w:val="008D0459"/>
    <w:rsid w:val="008D05D2"/>
    <w:rsid w:val="008D069D"/>
    <w:rsid w:val="008D0865"/>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2E90"/>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96"/>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442"/>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E2B"/>
    <w:rsid w:val="00910874"/>
    <w:rsid w:val="009108A7"/>
    <w:rsid w:val="009112DF"/>
    <w:rsid w:val="00911A5A"/>
    <w:rsid w:val="00911E1A"/>
    <w:rsid w:val="0091225D"/>
    <w:rsid w:val="009123B9"/>
    <w:rsid w:val="00912A63"/>
    <w:rsid w:val="00912A96"/>
    <w:rsid w:val="00912F6D"/>
    <w:rsid w:val="00913881"/>
    <w:rsid w:val="00913AF7"/>
    <w:rsid w:val="00913B67"/>
    <w:rsid w:val="00913F4C"/>
    <w:rsid w:val="0091404B"/>
    <w:rsid w:val="00914215"/>
    <w:rsid w:val="0091423A"/>
    <w:rsid w:val="00914445"/>
    <w:rsid w:val="00914A5D"/>
    <w:rsid w:val="00915032"/>
    <w:rsid w:val="009150D2"/>
    <w:rsid w:val="00915143"/>
    <w:rsid w:val="009151C0"/>
    <w:rsid w:val="0091537E"/>
    <w:rsid w:val="00915399"/>
    <w:rsid w:val="009154BD"/>
    <w:rsid w:val="0091610F"/>
    <w:rsid w:val="009161BA"/>
    <w:rsid w:val="00920471"/>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23"/>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A0"/>
    <w:rsid w:val="009326B1"/>
    <w:rsid w:val="009327B5"/>
    <w:rsid w:val="00932A20"/>
    <w:rsid w:val="00933D61"/>
    <w:rsid w:val="00933DE4"/>
    <w:rsid w:val="00934044"/>
    <w:rsid w:val="00934736"/>
    <w:rsid w:val="00934FFD"/>
    <w:rsid w:val="009352CA"/>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5F7"/>
    <w:rsid w:val="0096392B"/>
    <w:rsid w:val="0096397B"/>
    <w:rsid w:val="009645C3"/>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A2C"/>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931"/>
    <w:rsid w:val="009765CF"/>
    <w:rsid w:val="009766CE"/>
    <w:rsid w:val="00976D1B"/>
    <w:rsid w:val="00976FFB"/>
    <w:rsid w:val="00977771"/>
    <w:rsid w:val="00977852"/>
    <w:rsid w:val="009778AB"/>
    <w:rsid w:val="00980403"/>
    <w:rsid w:val="009804CB"/>
    <w:rsid w:val="009809DD"/>
    <w:rsid w:val="00980ACA"/>
    <w:rsid w:val="00980F14"/>
    <w:rsid w:val="009813F1"/>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5FAF"/>
    <w:rsid w:val="009A6127"/>
    <w:rsid w:val="009A62DC"/>
    <w:rsid w:val="009A637B"/>
    <w:rsid w:val="009A6456"/>
    <w:rsid w:val="009A64EE"/>
    <w:rsid w:val="009A6C74"/>
    <w:rsid w:val="009A6EE7"/>
    <w:rsid w:val="009A7154"/>
    <w:rsid w:val="009A78D1"/>
    <w:rsid w:val="009A7B65"/>
    <w:rsid w:val="009A7DFB"/>
    <w:rsid w:val="009A7E08"/>
    <w:rsid w:val="009B003C"/>
    <w:rsid w:val="009B0EA8"/>
    <w:rsid w:val="009B1823"/>
    <w:rsid w:val="009B2604"/>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221"/>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0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A0"/>
    <w:rsid w:val="00A043B9"/>
    <w:rsid w:val="00A04541"/>
    <w:rsid w:val="00A04A92"/>
    <w:rsid w:val="00A04DB3"/>
    <w:rsid w:val="00A04E65"/>
    <w:rsid w:val="00A0559E"/>
    <w:rsid w:val="00A05A1F"/>
    <w:rsid w:val="00A05AA6"/>
    <w:rsid w:val="00A05BD0"/>
    <w:rsid w:val="00A05DFF"/>
    <w:rsid w:val="00A0608E"/>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48F3"/>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29F"/>
    <w:rsid w:val="00A322D5"/>
    <w:rsid w:val="00A325C2"/>
    <w:rsid w:val="00A325CC"/>
    <w:rsid w:val="00A327AB"/>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3F05"/>
    <w:rsid w:val="00A4424E"/>
    <w:rsid w:val="00A44882"/>
    <w:rsid w:val="00A44E28"/>
    <w:rsid w:val="00A45371"/>
    <w:rsid w:val="00A4570E"/>
    <w:rsid w:val="00A45767"/>
    <w:rsid w:val="00A4579D"/>
    <w:rsid w:val="00A45A3B"/>
    <w:rsid w:val="00A45C5B"/>
    <w:rsid w:val="00A46D1A"/>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466"/>
    <w:rsid w:val="00A606AC"/>
    <w:rsid w:val="00A6070B"/>
    <w:rsid w:val="00A609BC"/>
    <w:rsid w:val="00A60B4F"/>
    <w:rsid w:val="00A60EBB"/>
    <w:rsid w:val="00A615AF"/>
    <w:rsid w:val="00A61828"/>
    <w:rsid w:val="00A6189D"/>
    <w:rsid w:val="00A61919"/>
    <w:rsid w:val="00A6194B"/>
    <w:rsid w:val="00A61F65"/>
    <w:rsid w:val="00A6218C"/>
    <w:rsid w:val="00A621F3"/>
    <w:rsid w:val="00A623EF"/>
    <w:rsid w:val="00A62454"/>
    <w:rsid w:val="00A62788"/>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03D"/>
    <w:rsid w:val="00A6636E"/>
    <w:rsid w:val="00A66851"/>
    <w:rsid w:val="00A669D6"/>
    <w:rsid w:val="00A6743F"/>
    <w:rsid w:val="00A677C1"/>
    <w:rsid w:val="00A67A8E"/>
    <w:rsid w:val="00A67AC6"/>
    <w:rsid w:val="00A70A35"/>
    <w:rsid w:val="00A7141F"/>
    <w:rsid w:val="00A71964"/>
    <w:rsid w:val="00A71D6B"/>
    <w:rsid w:val="00A71F00"/>
    <w:rsid w:val="00A726A3"/>
    <w:rsid w:val="00A726DE"/>
    <w:rsid w:val="00A73242"/>
    <w:rsid w:val="00A73873"/>
    <w:rsid w:val="00A739AB"/>
    <w:rsid w:val="00A73D4C"/>
    <w:rsid w:val="00A744A2"/>
    <w:rsid w:val="00A74598"/>
    <w:rsid w:val="00A745D9"/>
    <w:rsid w:val="00A74E04"/>
    <w:rsid w:val="00A74F6C"/>
    <w:rsid w:val="00A74FB9"/>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759"/>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A97"/>
    <w:rsid w:val="00A86F67"/>
    <w:rsid w:val="00A86FEF"/>
    <w:rsid w:val="00A8706A"/>
    <w:rsid w:val="00A87482"/>
    <w:rsid w:val="00A87564"/>
    <w:rsid w:val="00A87E67"/>
    <w:rsid w:val="00A87F4E"/>
    <w:rsid w:val="00A90134"/>
    <w:rsid w:val="00A901CB"/>
    <w:rsid w:val="00A905F1"/>
    <w:rsid w:val="00A90E27"/>
    <w:rsid w:val="00A91218"/>
    <w:rsid w:val="00A91469"/>
    <w:rsid w:val="00A9164F"/>
    <w:rsid w:val="00A91F3E"/>
    <w:rsid w:val="00A9213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711"/>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3644"/>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A7CDD"/>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43A"/>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309"/>
    <w:rsid w:val="00AC0CC3"/>
    <w:rsid w:val="00AC1281"/>
    <w:rsid w:val="00AC12FD"/>
    <w:rsid w:val="00AC1459"/>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AAE"/>
    <w:rsid w:val="00AD7E17"/>
    <w:rsid w:val="00AE0160"/>
    <w:rsid w:val="00AE0D23"/>
    <w:rsid w:val="00AE0E9E"/>
    <w:rsid w:val="00AE14B7"/>
    <w:rsid w:val="00AE1803"/>
    <w:rsid w:val="00AE19D1"/>
    <w:rsid w:val="00AE2205"/>
    <w:rsid w:val="00AE232B"/>
    <w:rsid w:val="00AE26F5"/>
    <w:rsid w:val="00AE2968"/>
    <w:rsid w:val="00AE2CA5"/>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FF5"/>
    <w:rsid w:val="00B03101"/>
    <w:rsid w:val="00B039CE"/>
    <w:rsid w:val="00B03BB8"/>
    <w:rsid w:val="00B03D26"/>
    <w:rsid w:val="00B04AD7"/>
    <w:rsid w:val="00B04D36"/>
    <w:rsid w:val="00B04F11"/>
    <w:rsid w:val="00B0540A"/>
    <w:rsid w:val="00B05688"/>
    <w:rsid w:val="00B0588E"/>
    <w:rsid w:val="00B06054"/>
    <w:rsid w:val="00B0618C"/>
    <w:rsid w:val="00B06771"/>
    <w:rsid w:val="00B06C77"/>
    <w:rsid w:val="00B07390"/>
    <w:rsid w:val="00B075EC"/>
    <w:rsid w:val="00B076A7"/>
    <w:rsid w:val="00B076C4"/>
    <w:rsid w:val="00B07CBE"/>
    <w:rsid w:val="00B10196"/>
    <w:rsid w:val="00B108ED"/>
    <w:rsid w:val="00B1093D"/>
    <w:rsid w:val="00B10DF3"/>
    <w:rsid w:val="00B11882"/>
    <w:rsid w:val="00B11E29"/>
    <w:rsid w:val="00B12A8C"/>
    <w:rsid w:val="00B13003"/>
    <w:rsid w:val="00B137BE"/>
    <w:rsid w:val="00B13829"/>
    <w:rsid w:val="00B13CD0"/>
    <w:rsid w:val="00B13F1F"/>
    <w:rsid w:val="00B14251"/>
    <w:rsid w:val="00B147CC"/>
    <w:rsid w:val="00B14A16"/>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305"/>
    <w:rsid w:val="00B24F49"/>
    <w:rsid w:val="00B251C6"/>
    <w:rsid w:val="00B25585"/>
    <w:rsid w:val="00B2571D"/>
    <w:rsid w:val="00B25A0E"/>
    <w:rsid w:val="00B25A70"/>
    <w:rsid w:val="00B25BD8"/>
    <w:rsid w:val="00B25E1D"/>
    <w:rsid w:val="00B25F9A"/>
    <w:rsid w:val="00B2613A"/>
    <w:rsid w:val="00B263BE"/>
    <w:rsid w:val="00B269CE"/>
    <w:rsid w:val="00B2757B"/>
    <w:rsid w:val="00B27B87"/>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4C9"/>
    <w:rsid w:val="00B35CB3"/>
    <w:rsid w:val="00B35F8E"/>
    <w:rsid w:val="00B366F1"/>
    <w:rsid w:val="00B36D0F"/>
    <w:rsid w:val="00B4003E"/>
    <w:rsid w:val="00B40276"/>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233"/>
    <w:rsid w:val="00B45A61"/>
    <w:rsid w:val="00B45AC0"/>
    <w:rsid w:val="00B46501"/>
    <w:rsid w:val="00B469D2"/>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AE3"/>
    <w:rsid w:val="00B67B2B"/>
    <w:rsid w:val="00B7021B"/>
    <w:rsid w:val="00B70333"/>
    <w:rsid w:val="00B70A03"/>
    <w:rsid w:val="00B70A49"/>
    <w:rsid w:val="00B70EDB"/>
    <w:rsid w:val="00B71A5D"/>
    <w:rsid w:val="00B72531"/>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699"/>
    <w:rsid w:val="00B77B57"/>
    <w:rsid w:val="00B77D8A"/>
    <w:rsid w:val="00B80132"/>
    <w:rsid w:val="00B8053A"/>
    <w:rsid w:val="00B80795"/>
    <w:rsid w:val="00B80F5B"/>
    <w:rsid w:val="00B81578"/>
    <w:rsid w:val="00B81684"/>
    <w:rsid w:val="00B817F4"/>
    <w:rsid w:val="00B820AE"/>
    <w:rsid w:val="00B821AB"/>
    <w:rsid w:val="00B8282F"/>
    <w:rsid w:val="00B8298D"/>
    <w:rsid w:val="00B82A8C"/>
    <w:rsid w:val="00B82E64"/>
    <w:rsid w:val="00B830F7"/>
    <w:rsid w:val="00B8321E"/>
    <w:rsid w:val="00B837F5"/>
    <w:rsid w:val="00B83AC3"/>
    <w:rsid w:val="00B83DAC"/>
    <w:rsid w:val="00B83DF6"/>
    <w:rsid w:val="00B841D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344"/>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97CD8"/>
    <w:rsid w:val="00BA067F"/>
    <w:rsid w:val="00BA13E0"/>
    <w:rsid w:val="00BA15F3"/>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680"/>
    <w:rsid w:val="00BA682B"/>
    <w:rsid w:val="00BA68C1"/>
    <w:rsid w:val="00BA6D50"/>
    <w:rsid w:val="00BA712E"/>
    <w:rsid w:val="00BA7372"/>
    <w:rsid w:val="00BA7423"/>
    <w:rsid w:val="00BA7688"/>
    <w:rsid w:val="00BA7EB0"/>
    <w:rsid w:val="00BB008F"/>
    <w:rsid w:val="00BB0528"/>
    <w:rsid w:val="00BB070E"/>
    <w:rsid w:val="00BB0D75"/>
    <w:rsid w:val="00BB1286"/>
    <w:rsid w:val="00BB1C4F"/>
    <w:rsid w:val="00BB20E7"/>
    <w:rsid w:val="00BB225D"/>
    <w:rsid w:val="00BB277B"/>
    <w:rsid w:val="00BB2835"/>
    <w:rsid w:val="00BB2F14"/>
    <w:rsid w:val="00BB3224"/>
    <w:rsid w:val="00BB358E"/>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D5"/>
    <w:rsid w:val="00BB7A21"/>
    <w:rsid w:val="00BB7DB1"/>
    <w:rsid w:val="00BC0AE6"/>
    <w:rsid w:val="00BC16BF"/>
    <w:rsid w:val="00BC1B4B"/>
    <w:rsid w:val="00BC1EA8"/>
    <w:rsid w:val="00BC201A"/>
    <w:rsid w:val="00BC2BC7"/>
    <w:rsid w:val="00BC2F45"/>
    <w:rsid w:val="00BC344E"/>
    <w:rsid w:val="00BC38B8"/>
    <w:rsid w:val="00BC3CF8"/>
    <w:rsid w:val="00BC3D8E"/>
    <w:rsid w:val="00BC4960"/>
    <w:rsid w:val="00BC4B9C"/>
    <w:rsid w:val="00BC5181"/>
    <w:rsid w:val="00BC56C1"/>
    <w:rsid w:val="00BC5CE2"/>
    <w:rsid w:val="00BC642E"/>
    <w:rsid w:val="00BC6742"/>
    <w:rsid w:val="00BC71C5"/>
    <w:rsid w:val="00BC7659"/>
    <w:rsid w:val="00BC76D2"/>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D36"/>
    <w:rsid w:val="00BD7F9E"/>
    <w:rsid w:val="00BE072F"/>
    <w:rsid w:val="00BE0C3B"/>
    <w:rsid w:val="00BE13B8"/>
    <w:rsid w:val="00BE1542"/>
    <w:rsid w:val="00BE197A"/>
    <w:rsid w:val="00BE1A06"/>
    <w:rsid w:val="00BE2E99"/>
    <w:rsid w:val="00BE3AFA"/>
    <w:rsid w:val="00BE3F52"/>
    <w:rsid w:val="00BE403F"/>
    <w:rsid w:val="00BE5515"/>
    <w:rsid w:val="00BE5613"/>
    <w:rsid w:val="00BE5813"/>
    <w:rsid w:val="00BE5C7E"/>
    <w:rsid w:val="00BE65B3"/>
    <w:rsid w:val="00BE68B9"/>
    <w:rsid w:val="00BE7265"/>
    <w:rsid w:val="00BE7568"/>
    <w:rsid w:val="00BE76E2"/>
    <w:rsid w:val="00BE7B27"/>
    <w:rsid w:val="00BF0089"/>
    <w:rsid w:val="00BF02E6"/>
    <w:rsid w:val="00BF0A66"/>
    <w:rsid w:val="00BF10D2"/>
    <w:rsid w:val="00BF10D6"/>
    <w:rsid w:val="00BF120B"/>
    <w:rsid w:val="00BF1309"/>
    <w:rsid w:val="00BF18B9"/>
    <w:rsid w:val="00BF1B70"/>
    <w:rsid w:val="00BF220D"/>
    <w:rsid w:val="00BF2817"/>
    <w:rsid w:val="00BF290F"/>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17A"/>
    <w:rsid w:val="00BF7AB6"/>
    <w:rsid w:val="00BF7CDD"/>
    <w:rsid w:val="00BF7D43"/>
    <w:rsid w:val="00C00F1A"/>
    <w:rsid w:val="00C010F5"/>
    <w:rsid w:val="00C01835"/>
    <w:rsid w:val="00C01DFD"/>
    <w:rsid w:val="00C0207C"/>
    <w:rsid w:val="00C02192"/>
    <w:rsid w:val="00C0279C"/>
    <w:rsid w:val="00C02CDE"/>
    <w:rsid w:val="00C03B7B"/>
    <w:rsid w:val="00C03C30"/>
    <w:rsid w:val="00C0409A"/>
    <w:rsid w:val="00C04339"/>
    <w:rsid w:val="00C04C6C"/>
    <w:rsid w:val="00C057E0"/>
    <w:rsid w:val="00C05863"/>
    <w:rsid w:val="00C05C20"/>
    <w:rsid w:val="00C06031"/>
    <w:rsid w:val="00C06066"/>
    <w:rsid w:val="00C0648A"/>
    <w:rsid w:val="00C06615"/>
    <w:rsid w:val="00C067A4"/>
    <w:rsid w:val="00C06F8C"/>
    <w:rsid w:val="00C07A6C"/>
    <w:rsid w:val="00C07AE3"/>
    <w:rsid w:val="00C07AE4"/>
    <w:rsid w:val="00C10599"/>
    <w:rsid w:val="00C10EFD"/>
    <w:rsid w:val="00C10F46"/>
    <w:rsid w:val="00C1114F"/>
    <w:rsid w:val="00C11183"/>
    <w:rsid w:val="00C11197"/>
    <w:rsid w:val="00C1157C"/>
    <w:rsid w:val="00C11B8D"/>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F51"/>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5826"/>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459"/>
    <w:rsid w:val="00C3463A"/>
    <w:rsid w:val="00C346BB"/>
    <w:rsid w:val="00C346C1"/>
    <w:rsid w:val="00C34BDB"/>
    <w:rsid w:val="00C34C05"/>
    <w:rsid w:val="00C34D4B"/>
    <w:rsid w:val="00C34F16"/>
    <w:rsid w:val="00C3566B"/>
    <w:rsid w:val="00C35B23"/>
    <w:rsid w:val="00C36050"/>
    <w:rsid w:val="00C361B0"/>
    <w:rsid w:val="00C36492"/>
    <w:rsid w:val="00C367B9"/>
    <w:rsid w:val="00C36DAD"/>
    <w:rsid w:val="00C37050"/>
    <w:rsid w:val="00C37823"/>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2"/>
    <w:rsid w:val="00C4587D"/>
    <w:rsid w:val="00C45C66"/>
    <w:rsid w:val="00C470AA"/>
    <w:rsid w:val="00C47AE8"/>
    <w:rsid w:val="00C47B93"/>
    <w:rsid w:val="00C47BDE"/>
    <w:rsid w:val="00C5002F"/>
    <w:rsid w:val="00C5063C"/>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A62"/>
    <w:rsid w:val="00C66C34"/>
    <w:rsid w:val="00C66F69"/>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6CB"/>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4A3"/>
    <w:rsid w:val="00C8198E"/>
    <w:rsid w:val="00C81B30"/>
    <w:rsid w:val="00C8220B"/>
    <w:rsid w:val="00C82387"/>
    <w:rsid w:val="00C823D0"/>
    <w:rsid w:val="00C831FC"/>
    <w:rsid w:val="00C83218"/>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253"/>
    <w:rsid w:val="00CA49C0"/>
    <w:rsid w:val="00CA4A24"/>
    <w:rsid w:val="00CA4A3F"/>
    <w:rsid w:val="00CA4C14"/>
    <w:rsid w:val="00CA4F58"/>
    <w:rsid w:val="00CA51A0"/>
    <w:rsid w:val="00CA5DA3"/>
    <w:rsid w:val="00CA6164"/>
    <w:rsid w:val="00CB01BC"/>
    <w:rsid w:val="00CB0280"/>
    <w:rsid w:val="00CB03CF"/>
    <w:rsid w:val="00CB047F"/>
    <w:rsid w:val="00CB11BD"/>
    <w:rsid w:val="00CB1233"/>
    <w:rsid w:val="00CB1368"/>
    <w:rsid w:val="00CB167F"/>
    <w:rsid w:val="00CB1F2A"/>
    <w:rsid w:val="00CB27D0"/>
    <w:rsid w:val="00CB299C"/>
    <w:rsid w:val="00CB2A3C"/>
    <w:rsid w:val="00CB2BBA"/>
    <w:rsid w:val="00CB2C9B"/>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0"/>
    <w:rsid w:val="00CC1A18"/>
    <w:rsid w:val="00CC1D2E"/>
    <w:rsid w:val="00CC1E3E"/>
    <w:rsid w:val="00CC1E40"/>
    <w:rsid w:val="00CC27F5"/>
    <w:rsid w:val="00CC2D18"/>
    <w:rsid w:val="00CC2EFE"/>
    <w:rsid w:val="00CC32B0"/>
    <w:rsid w:val="00CC3D8D"/>
    <w:rsid w:val="00CC3E8C"/>
    <w:rsid w:val="00CC400F"/>
    <w:rsid w:val="00CC4365"/>
    <w:rsid w:val="00CC4C4B"/>
    <w:rsid w:val="00CC4C5E"/>
    <w:rsid w:val="00CC4CD7"/>
    <w:rsid w:val="00CC4F58"/>
    <w:rsid w:val="00CC57AE"/>
    <w:rsid w:val="00CC606C"/>
    <w:rsid w:val="00CC620F"/>
    <w:rsid w:val="00CC6C91"/>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3E3"/>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BCF"/>
    <w:rsid w:val="00CF3E2B"/>
    <w:rsid w:val="00CF3F01"/>
    <w:rsid w:val="00CF4050"/>
    <w:rsid w:val="00CF41AE"/>
    <w:rsid w:val="00CF495B"/>
    <w:rsid w:val="00CF4F02"/>
    <w:rsid w:val="00CF4F88"/>
    <w:rsid w:val="00CF5EE9"/>
    <w:rsid w:val="00CF61A3"/>
    <w:rsid w:val="00CF66DE"/>
    <w:rsid w:val="00CF6848"/>
    <w:rsid w:val="00CF6AF3"/>
    <w:rsid w:val="00CF6C9A"/>
    <w:rsid w:val="00CF74A3"/>
    <w:rsid w:val="00CF74F6"/>
    <w:rsid w:val="00CF76AE"/>
    <w:rsid w:val="00CF7823"/>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B39"/>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18"/>
    <w:rsid w:val="00D15D9D"/>
    <w:rsid w:val="00D1624D"/>
    <w:rsid w:val="00D17740"/>
    <w:rsid w:val="00D17869"/>
    <w:rsid w:val="00D1792B"/>
    <w:rsid w:val="00D17F37"/>
    <w:rsid w:val="00D202D3"/>
    <w:rsid w:val="00D2171B"/>
    <w:rsid w:val="00D217CE"/>
    <w:rsid w:val="00D21A77"/>
    <w:rsid w:val="00D22148"/>
    <w:rsid w:val="00D229A3"/>
    <w:rsid w:val="00D22C3A"/>
    <w:rsid w:val="00D22D40"/>
    <w:rsid w:val="00D22F49"/>
    <w:rsid w:val="00D23556"/>
    <w:rsid w:val="00D23A1F"/>
    <w:rsid w:val="00D23B89"/>
    <w:rsid w:val="00D23CE2"/>
    <w:rsid w:val="00D24313"/>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955"/>
    <w:rsid w:val="00D54370"/>
    <w:rsid w:val="00D5438E"/>
    <w:rsid w:val="00D54C59"/>
    <w:rsid w:val="00D54D49"/>
    <w:rsid w:val="00D54D88"/>
    <w:rsid w:val="00D5521C"/>
    <w:rsid w:val="00D554E6"/>
    <w:rsid w:val="00D55723"/>
    <w:rsid w:val="00D55B68"/>
    <w:rsid w:val="00D55BD5"/>
    <w:rsid w:val="00D55C37"/>
    <w:rsid w:val="00D55C62"/>
    <w:rsid w:val="00D56330"/>
    <w:rsid w:val="00D563C2"/>
    <w:rsid w:val="00D56650"/>
    <w:rsid w:val="00D56810"/>
    <w:rsid w:val="00D56C31"/>
    <w:rsid w:val="00D56D65"/>
    <w:rsid w:val="00D572B2"/>
    <w:rsid w:val="00D57C20"/>
    <w:rsid w:val="00D57F0A"/>
    <w:rsid w:val="00D60207"/>
    <w:rsid w:val="00D6038F"/>
    <w:rsid w:val="00D6041F"/>
    <w:rsid w:val="00D60BCB"/>
    <w:rsid w:val="00D60C1A"/>
    <w:rsid w:val="00D60CB2"/>
    <w:rsid w:val="00D60DD4"/>
    <w:rsid w:val="00D60EA4"/>
    <w:rsid w:val="00D60F92"/>
    <w:rsid w:val="00D610FA"/>
    <w:rsid w:val="00D6141A"/>
    <w:rsid w:val="00D61697"/>
    <w:rsid w:val="00D62243"/>
    <w:rsid w:val="00D6278F"/>
    <w:rsid w:val="00D62949"/>
    <w:rsid w:val="00D629D3"/>
    <w:rsid w:val="00D62DEC"/>
    <w:rsid w:val="00D62E00"/>
    <w:rsid w:val="00D63B19"/>
    <w:rsid w:val="00D63BAD"/>
    <w:rsid w:val="00D6410E"/>
    <w:rsid w:val="00D6420A"/>
    <w:rsid w:val="00D6447E"/>
    <w:rsid w:val="00D645BF"/>
    <w:rsid w:val="00D647F9"/>
    <w:rsid w:val="00D6485C"/>
    <w:rsid w:val="00D64864"/>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3EFE"/>
    <w:rsid w:val="00D74461"/>
    <w:rsid w:val="00D74AF7"/>
    <w:rsid w:val="00D7505F"/>
    <w:rsid w:val="00D75199"/>
    <w:rsid w:val="00D75277"/>
    <w:rsid w:val="00D75843"/>
    <w:rsid w:val="00D758A1"/>
    <w:rsid w:val="00D75E85"/>
    <w:rsid w:val="00D75F68"/>
    <w:rsid w:val="00D7643F"/>
    <w:rsid w:val="00D769F0"/>
    <w:rsid w:val="00D76A12"/>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DF"/>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878"/>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568"/>
    <w:rsid w:val="00DA1D80"/>
    <w:rsid w:val="00DA2046"/>
    <w:rsid w:val="00DA2185"/>
    <w:rsid w:val="00DA23D2"/>
    <w:rsid w:val="00DA29C4"/>
    <w:rsid w:val="00DA2D90"/>
    <w:rsid w:val="00DA2E62"/>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A7FCA"/>
    <w:rsid w:val="00DB0564"/>
    <w:rsid w:val="00DB09F7"/>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D50"/>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64C"/>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5EBF"/>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D60"/>
    <w:rsid w:val="00E11EB8"/>
    <w:rsid w:val="00E1273A"/>
    <w:rsid w:val="00E12933"/>
    <w:rsid w:val="00E12A5A"/>
    <w:rsid w:val="00E12AF0"/>
    <w:rsid w:val="00E12E41"/>
    <w:rsid w:val="00E12FB2"/>
    <w:rsid w:val="00E136AE"/>
    <w:rsid w:val="00E139D0"/>
    <w:rsid w:val="00E143F1"/>
    <w:rsid w:val="00E145A7"/>
    <w:rsid w:val="00E145E0"/>
    <w:rsid w:val="00E147E5"/>
    <w:rsid w:val="00E14913"/>
    <w:rsid w:val="00E149D5"/>
    <w:rsid w:val="00E150B1"/>
    <w:rsid w:val="00E152A7"/>
    <w:rsid w:val="00E15343"/>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6EA7"/>
    <w:rsid w:val="00E272FE"/>
    <w:rsid w:val="00E27801"/>
    <w:rsid w:val="00E30517"/>
    <w:rsid w:val="00E3066B"/>
    <w:rsid w:val="00E3070A"/>
    <w:rsid w:val="00E30A72"/>
    <w:rsid w:val="00E30DB2"/>
    <w:rsid w:val="00E31506"/>
    <w:rsid w:val="00E3200D"/>
    <w:rsid w:val="00E32E0E"/>
    <w:rsid w:val="00E32E10"/>
    <w:rsid w:val="00E3305B"/>
    <w:rsid w:val="00E33506"/>
    <w:rsid w:val="00E33704"/>
    <w:rsid w:val="00E33802"/>
    <w:rsid w:val="00E33814"/>
    <w:rsid w:val="00E339C6"/>
    <w:rsid w:val="00E33B8C"/>
    <w:rsid w:val="00E33E4D"/>
    <w:rsid w:val="00E34120"/>
    <w:rsid w:val="00E34D6F"/>
    <w:rsid w:val="00E34F08"/>
    <w:rsid w:val="00E35698"/>
    <w:rsid w:val="00E35AC2"/>
    <w:rsid w:val="00E35EB9"/>
    <w:rsid w:val="00E35F47"/>
    <w:rsid w:val="00E3610B"/>
    <w:rsid w:val="00E363B9"/>
    <w:rsid w:val="00E36AED"/>
    <w:rsid w:val="00E371FD"/>
    <w:rsid w:val="00E377BF"/>
    <w:rsid w:val="00E37C25"/>
    <w:rsid w:val="00E40362"/>
    <w:rsid w:val="00E41BAC"/>
    <w:rsid w:val="00E42532"/>
    <w:rsid w:val="00E42D71"/>
    <w:rsid w:val="00E432AE"/>
    <w:rsid w:val="00E434D2"/>
    <w:rsid w:val="00E4356E"/>
    <w:rsid w:val="00E43F1E"/>
    <w:rsid w:val="00E4466A"/>
    <w:rsid w:val="00E447D5"/>
    <w:rsid w:val="00E44DE0"/>
    <w:rsid w:val="00E45041"/>
    <w:rsid w:val="00E450D8"/>
    <w:rsid w:val="00E452D0"/>
    <w:rsid w:val="00E45A9D"/>
    <w:rsid w:val="00E460A1"/>
    <w:rsid w:val="00E46CC9"/>
    <w:rsid w:val="00E46F11"/>
    <w:rsid w:val="00E47D5F"/>
    <w:rsid w:val="00E47D96"/>
    <w:rsid w:val="00E508D6"/>
    <w:rsid w:val="00E50FBC"/>
    <w:rsid w:val="00E515A3"/>
    <w:rsid w:val="00E51A1D"/>
    <w:rsid w:val="00E51E23"/>
    <w:rsid w:val="00E523F3"/>
    <w:rsid w:val="00E529A8"/>
    <w:rsid w:val="00E52F76"/>
    <w:rsid w:val="00E5315C"/>
    <w:rsid w:val="00E534EA"/>
    <w:rsid w:val="00E538E0"/>
    <w:rsid w:val="00E547DF"/>
    <w:rsid w:val="00E54D33"/>
    <w:rsid w:val="00E550B5"/>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27A"/>
    <w:rsid w:val="00E62AF2"/>
    <w:rsid w:val="00E62C6B"/>
    <w:rsid w:val="00E630F7"/>
    <w:rsid w:val="00E643D0"/>
    <w:rsid w:val="00E64763"/>
    <w:rsid w:val="00E647DC"/>
    <w:rsid w:val="00E6484F"/>
    <w:rsid w:val="00E64B4F"/>
    <w:rsid w:val="00E65A35"/>
    <w:rsid w:val="00E65D9F"/>
    <w:rsid w:val="00E65E6B"/>
    <w:rsid w:val="00E6640D"/>
    <w:rsid w:val="00E666A1"/>
    <w:rsid w:val="00E6682F"/>
    <w:rsid w:val="00E67631"/>
    <w:rsid w:val="00E67B7F"/>
    <w:rsid w:val="00E7041A"/>
    <w:rsid w:val="00E705E5"/>
    <w:rsid w:val="00E70B0C"/>
    <w:rsid w:val="00E71952"/>
    <w:rsid w:val="00E71DF1"/>
    <w:rsid w:val="00E71EDB"/>
    <w:rsid w:val="00E723D3"/>
    <w:rsid w:val="00E7242A"/>
    <w:rsid w:val="00E72ABE"/>
    <w:rsid w:val="00E72BCC"/>
    <w:rsid w:val="00E738E0"/>
    <w:rsid w:val="00E739A7"/>
    <w:rsid w:val="00E73B87"/>
    <w:rsid w:val="00E73E01"/>
    <w:rsid w:val="00E7449A"/>
    <w:rsid w:val="00E74B5A"/>
    <w:rsid w:val="00E7524F"/>
    <w:rsid w:val="00E7556D"/>
    <w:rsid w:val="00E75693"/>
    <w:rsid w:val="00E756FB"/>
    <w:rsid w:val="00E75BE6"/>
    <w:rsid w:val="00E76141"/>
    <w:rsid w:val="00E76270"/>
    <w:rsid w:val="00E76B45"/>
    <w:rsid w:val="00E77040"/>
    <w:rsid w:val="00E772AB"/>
    <w:rsid w:val="00E772C4"/>
    <w:rsid w:val="00E77655"/>
    <w:rsid w:val="00E8016D"/>
    <w:rsid w:val="00E810EC"/>
    <w:rsid w:val="00E8112C"/>
    <w:rsid w:val="00E81587"/>
    <w:rsid w:val="00E815AE"/>
    <w:rsid w:val="00E815D6"/>
    <w:rsid w:val="00E826C8"/>
    <w:rsid w:val="00E82819"/>
    <w:rsid w:val="00E82EE0"/>
    <w:rsid w:val="00E83280"/>
    <w:rsid w:val="00E832C9"/>
    <w:rsid w:val="00E8344D"/>
    <w:rsid w:val="00E83469"/>
    <w:rsid w:val="00E83E6E"/>
    <w:rsid w:val="00E8412F"/>
    <w:rsid w:val="00E84661"/>
    <w:rsid w:val="00E84934"/>
    <w:rsid w:val="00E84A69"/>
    <w:rsid w:val="00E852CB"/>
    <w:rsid w:val="00E853AC"/>
    <w:rsid w:val="00E85483"/>
    <w:rsid w:val="00E85B7C"/>
    <w:rsid w:val="00E86057"/>
    <w:rsid w:val="00E861F7"/>
    <w:rsid w:val="00E86323"/>
    <w:rsid w:val="00E8641E"/>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A1"/>
    <w:rsid w:val="00E939E4"/>
    <w:rsid w:val="00E93A7A"/>
    <w:rsid w:val="00E93B3D"/>
    <w:rsid w:val="00E93D80"/>
    <w:rsid w:val="00E94307"/>
    <w:rsid w:val="00E94762"/>
    <w:rsid w:val="00E94892"/>
    <w:rsid w:val="00E95754"/>
    <w:rsid w:val="00E959A9"/>
    <w:rsid w:val="00E95A9A"/>
    <w:rsid w:val="00E9627E"/>
    <w:rsid w:val="00E96C84"/>
    <w:rsid w:val="00E96F40"/>
    <w:rsid w:val="00E96F88"/>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90D"/>
    <w:rsid w:val="00EA3D67"/>
    <w:rsid w:val="00EA3DB9"/>
    <w:rsid w:val="00EA430C"/>
    <w:rsid w:val="00EA4660"/>
    <w:rsid w:val="00EA475F"/>
    <w:rsid w:val="00EA4A36"/>
    <w:rsid w:val="00EA4D6C"/>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5BA"/>
    <w:rsid w:val="00EC183D"/>
    <w:rsid w:val="00EC1D83"/>
    <w:rsid w:val="00EC1FE9"/>
    <w:rsid w:val="00EC28CD"/>
    <w:rsid w:val="00EC2C50"/>
    <w:rsid w:val="00EC2E21"/>
    <w:rsid w:val="00EC30AD"/>
    <w:rsid w:val="00EC30FE"/>
    <w:rsid w:val="00EC36DD"/>
    <w:rsid w:val="00EC3E81"/>
    <w:rsid w:val="00EC3EC8"/>
    <w:rsid w:val="00EC44E7"/>
    <w:rsid w:val="00EC4741"/>
    <w:rsid w:val="00EC4D77"/>
    <w:rsid w:val="00EC4D7B"/>
    <w:rsid w:val="00EC4E2E"/>
    <w:rsid w:val="00EC555C"/>
    <w:rsid w:val="00EC60A1"/>
    <w:rsid w:val="00EC614D"/>
    <w:rsid w:val="00EC6337"/>
    <w:rsid w:val="00EC6D68"/>
    <w:rsid w:val="00EC6D82"/>
    <w:rsid w:val="00EC6F95"/>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396"/>
    <w:rsid w:val="00EF2457"/>
    <w:rsid w:val="00EF2786"/>
    <w:rsid w:val="00EF28E6"/>
    <w:rsid w:val="00EF2902"/>
    <w:rsid w:val="00EF3A28"/>
    <w:rsid w:val="00EF3A3D"/>
    <w:rsid w:val="00EF3A4A"/>
    <w:rsid w:val="00EF3D41"/>
    <w:rsid w:val="00EF3D43"/>
    <w:rsid w:val="00EF3EE0"/>
    <w:rsid w:val="00EF4056"/>
    <w:rsid w:val="00EF493B"/>
    <w:rsid w:val="00EF4F32"/>
    <w:rsid w:val="00EF5326"/>
    <w:rsid w:val="00EF57F7"/>
    <w:rsid w:val="00EF5861"/>
    <w:rsid w:val="00EF5DA3"/>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72E"/>
    <w:rsid w:val="00F05EED"/>
    <w:rsid w:val="00F05F00"/>
    <w:rsid w:val="00F068A5"/>
    <w:rsid w:val="00F06F02"/>
    <w:rsid w:val="00F07CD5"/>
    <w:rsid w:val="00F10437"/>
    <w:rsid w:val="00F10465"/>
    <w:rsid w:val="00F10864"/>
    <w:rsid w:val="00F1165E"/>
    <w:rsid w:val="00F11CF5"/>
    <w:rsid w:val="00F12312"/>
    <w:rsid w:val="00F12B3D"/>
    <w:rsid w:val="00F1323A"/>
    <w:rsid w:val="00F13242"/>
    <w:rsid w:val="00F13555"/>
    <w:rsid w:val="00F1403E"/>
    <w:rsid w:val="00F140FE"/>
    <w:rsid w:val="00F1415B"/>
    <w:rsid w:val="00F14FB4"/>
    <w:rsid w:val="00F16267"/>
    <w:rsid w:val="00F165FF"/>
    <w:rsid w:val="00F16BB1"/>
    <w:rsid w:val="00F16EA6"/>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88B"/>
    <w:rsid w:val="00F22C96"/>
    <w:rsid w:val="00F22FC1"/>
    <w:rsid w:val="00F2357F"/>
    <w:rsid w:val="00F23A96"/>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BFB"/>
    <w:rsid w:val="00F31CC5"/>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EDF"/>
    <w:rsid w:val="00F377A2"/>
    <w:rsid w:val="00F37922"/>
    <w:rsid w:val="00F37AEF"/>
    <w:rsid w:val="00F37BD8"/>
    <w:rsid w:val="00F37DC6"/>
    <w:rsid w:val="00F41D1F"/>
    <w:rsid w:val="00F42910"/>
    <w:rsid w:val="00F42C2B"/>
    <w:rsid w:val="00F4476B"/>
    <w:rsid w:val="00F44833"/>
    <w:rsid w:val="00F45A74"/>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B6"/>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553"/>
    <w:rsid w:val="00F558E3"/>
    <w:rsid w:val="00F55AC5"/>
    <w:rsid w:val="00F55B09"/>
    <w:rsid w:val="00F564B4"/>
    <w:rsid w:val="00F56D31"/>
    <w:rsid w:val="00F57183"/>
    <w:rsid w:val="00F5765A"/>
    <w:rsid w:val="00F57C72"/>
    <w:rsid w:val="00F57E51"/>
    <w:rsid w:val="00F57EA8"/>
    <w:rsid w:val="00F6021A"/>
    <w:rsid w:val="00F6021F"/>
    <w:rsid w:val="00F60845"/>
    <w:rsid w:val="00F61158"/>
    <w:rsid w:val="00F614D1"/>
    <w:rsid w:val="00F61564"/>
    <w:rsid w:val="00F61FDE"/>
    <w:rsid w:val="00F62143"/>
    <w:rsid w:val="00F62338"/>
    <w:rsid w:val="00F62377"/>
    <w:rsid w:val="00F62862"/>
    <w:rsid w:val="00F63005"/>
    <w:rsid w:val="00F63080"/>
    <w:rsid w:val="00F63289"/>
    <w:rsid w:val="00F639FA"/>
    <w:rsid w:val="00F63A49"/>
    <w:rsid w:val="00F63CD2"/>
    <w:rsid w:val="00F63F71"/>
    <w:rsid w:val="00F6433C"/>
    <w:rsid w:val="00F648A2"/>
    <w:rsid w:val="00F64928"/>
    <w:rsid w:val="00F64966"/>
    <w:rsid w:val="00F651ED"/>
    <w:rsid w:val="00F65961"/>
    <w:rsid w:val="00F65E8A"/>
    <w:rsid w:val="00F65E91"/>
    <w:rsid w:val="00F660B8"/>
    <w:rsid w:val="00F6617D"/>
    <w:rsid w:val="00F66709"/>
    <w:rsid w:val="00F669E3"/>
    <w:rsid w:val="00F66AF7"/>
    <w:rsid w:val="00F672EB"/>
    <w:rsid w:val="00F6753C"/>
    <w:rsid w:val="00F67906"/>
    <w:rsid w:val="00F67A85"/>
    <w:rsid w:val="00F67D0D"/>
    <w:rsid w:val="00F703BE"/>
    <w:rsid w:val="00F71026"/>
    <w:rsid w:val="00F71042"/>
    <w:rsid w:val="00F710A0"/>
    <w:rsid w:val="00F710D9"/>
    <w:rsid w:val="00F71976"/>
    <w:rsid w:val="00F71F79"/>
    <w:rsid w:val="00F721A1"/>
    <w:rsid w:val="00F724E3"/>
    <w:rsid w:val="00F7262B"/>
    <w:rsid w:val="00F727AA"/>
    <w:rsid w:val="00F729F2"/>
    <w:rsid w:val="00F72C94"/>
    <w:rsid w:val="00F73F43"/>
    <w:rsid w:val="00F74664"/>
    <w:rsid w:val="00F74791"/>
    <w:rsid w:val="00F747FD"/>
    <w:rsid w:val="00F74A7A"/>
    <w:rsid w:val="00F74D3F"/>
    <w:rsid w:val="00F75C0B"/>
    <w:rsid w:val="00F763DF"/>
    <w:rsid w:val="00F76C4D"/>
    <w:rsid w:val="00F77028"/>
    <w:rsid w:val="00F7792A"/>
    <w:rsid w:val="00F77C47"/>
    <w:rsid w:val="00F77CFA"/>
    <w:rsid w:val="00F802D3"/>
    <w:rsid w:val="00F80A32"/>
    <w:rsid w:val="00F80D8F"/>
    <w:rsid w:val="00F8116A"/>
    <w:rsid w:val="00F81311"/>
    <w:rsid w:val="00F81625"/>
    <w:rsid w:val="00F81A54"/>
    <w:rsid w:val="00F81E0E"/>
    <w:rsid w:val="00F81F03"/>
    <w:rsid w:val="00F81F25"/>
    <w:rsid w:val="00F82272"/>
    <w:rsid w:val="00F825FF"/>
    <w:rsid w:val="00F82760"/>
    <w:rsid w:val="00F82A7D"/>
    <w:rsid w:val="00F82D8E"/>
    <w:rsid w:val="00F83301"/>
    <w:rsid w:val="00F83380"/>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211"/>
    <w:rsid w:val="00F87317"/>
    <w:rsid w:val="00F879C6"/>
    <w:rsid w:val="00F87D07"/>
    <w:rsid w:val="00F87D16"/>
    <w:rsid w:val="00F87D54"/>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977"/>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D1D"/>
    <w:rsid w:val="00FA7A20"/>
    <w:rsid w:val="00FA7AA6"/>
    <w:rsid w:val="00FA7C04"/>
    <w:rsid w:val="00FB0443"/>
    <w:rsid w:val="00FB0540"/>
    <w:rsid w:val="00FB15D5"/>
    <w:rsid w:val="00FB18E8"/>
    <w:rsid w:val="00FB19D8"/>
    <w:rsid w:val="00FB22E5"/>
    <w:rsid w:val="00FB2864"/>
    <w:rsid w:val="00FB2A9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1F1E"/>
    <w:rsid w:val="00FD235B"/>
    <w:rsid w:val="00FD2804"/>
    <w:rsid w:val="00FD282A"/>
    <w:rsid w:val="00FD2A71"/>
    <w:rsid w:val="00FD2BDC"/>
    <w:rsid w:val="00FD3124"/>
    <w:rsid w:val="00FD3905"/>
    <w:rsid w:val="00FD3B5F"/>
    <w:rsid w:val="00FD3C4C"/>
    <w:rsid w:val="00FD4A9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43E"/>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92BBA"/>
  <w14:defaultImageDpi w14:val="32767"/>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PlainTable3">
    <w:name w:val="Plain Table 3"/>
    <w:basedOn w:val="TableNormal"/>
    <w:uiPriority w:val="43"/>
    <w:rsid w:val="000C7CC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B0EA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HR33RHYHUWRF-4-5299</_dlc_DocId>
    <_dlc_DocIdUrl xmlns="c06861ca-3f08-4d07-bff7-bb15bac121f4">
      <Url>https://projects.qualcomm.com/sites/pentari/_layouts/15/DocIdRedir.aspx?ID=HR33RHYHUWRF-4-5299</Url>
      <Description>HR33RHYHUWRF-4-5299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F44B5-A9DE-437F-90F8-7483FE4A401C}">
  <ds:schemaRefs>
    <ds:schemaRef ds:uri="http://schemas.microsoft.com/sharepoint/events"/>
  </ds:schemaRefs>
</ds:datastoreItem>
</file>

<file path=customXml/itemProps2.xml><?xml version="1.0" encoding="utf-8"?>
<ds:datastoreItem xmlns:ds="http://schemas.openxmlformats.org/officeDocument/2006/customXml" ds:itemID="{D15C7696-45C6-4E55-95CD-16F459750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41F25E-2CFE-4A80-B83E-E73ED5CFA846}">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4E3ACF0-ED1B-4691-85C6-DB6E8CA0F5F0}">
  <ds:schemaRefs>
    <ds:schemaRef ds:uri="http://schemas.microsoft.com/sharepoint/v3/contenttype/forms"/>
  </ds:schemaRefs>
</ds:datastoreItem>
</file>

<file path=customXml/itemProps5.xml><?xml version="1.0" encoding="utf-8"?>
<ds:datastoreItem xmlns:ds="http://schemas.openxmlformats.org/officeDocument/2006/customXml" ds:itemID="{1F528E8C-ABDE-422F-B44F-08415952A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1303</TotalTime>
  <Pages>3</Pages>
  <Words>1020</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Non-codebook based UL transmission</vt:lpstr>
    </vt:vector>
  </TitlesOfParts>
  <Company>Qualcomm Inc.</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Non-codebook based UL transmission</dc:title>
  <dc:subject/>
  <dc:creator>Qualcomm Europe</dc:creator>
  <cp:keywords/>
  <dc:description/>
  <cp:lastModifiedBy>Yu Zhang</cp:lastModifiedBy>
  <cp:revision>84</cp:revision>
  <cp:lastPrinted>2014-11-07T05:38:00Z</cp:lastPrinted>
  <dcterms:created xsi:type="dcterms:W3CDTF">2017-06-15T21:05:00Z</dcterms:created>
  <dcterms:modified xsi:type="dcterms:W3CDTF">2017-08-12T05:24:00Z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cb51592b-a791-47d7-a886-8f91dfbfbe68</vt:lpwstr>
  </property>
</Properties>
</file>